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0" w:lineRule="exact"/>
        <w:rPr>
          <w:sz w:val="24"/>
          <w:szCs w:val="24"/>
          <w:color w:val="auto"/>
        </w:rPr>
      </w:pPr>
    </w:p>
    <w:p>
      <w:pPr>
        <w:ind w:left="980" w:hanging="972"/>
        <w:spacing w:after="0"/>
        <w:tabs>
          <w:tab w:leader="none" w:pos="9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980" w:right="1980" w:hanging="972"/>
        <w:spacing w:after="0" w:line="237"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0-29092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PRIMUS TELECOMMUNICATIONS GROUP, INCORPORATED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080" w:type="dxa"/>
            <w:vAlign w:val="bottom"/>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340" w:type="dxa"/>
            <w:vAlign w:val="bottom"/>
            <w:gridSpan w:val="3"/>
          </w:tcPr>
          <w:p>
            <w:pPr>
              <w:jc w:val="right"/>
              <w:ind w:right="2334"/>
              <w:spacing w:after="0"/>
              <w:rPr>
                <w:sz w:val="20"/>
                <w:szCs w:val="20"/>
                <w:color w:val="auto"/>
              </w:rPr>
            </w:pPr>
            <w:r>
              <w:rPr>
                <w:rFonts w:ascii="Times New Roman" w:cs="Times New Roman" w:eastAsia="Times New Roman" w:hAnsi="Times New Roman"/>
                <w:sz w:val="18"/>
                <w:szCs w:val="18"/>
                <w:b w:val="1"/>
                <w:bCs w:val="1"/>
                <w:color w:val="auto"/>
              </w:rPr>
              <w:t>54-1708481</w:t>
            </w:r>
          </w:p>
        </w:tc>
      </w:tr>
      <w:tr>
        <w:trPr>
          <w:trHeight w:val="234"/>
        </w:trPr>
        <w:tc>
          <w:tcPr>
            <w:tcW w:w="50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1700 Old Meadow Road, Suite 300, McLean, VA</w:t>
            </w:r>
          </w:p>
        </w:tc>
        <w:tc>
          <w:tcPr>
            <w:tcW w:w="6340" w:type="dxa"/>
            <w:vAlign w:val="bottom"/>
            <w:gridSpan w:val="3"/>
          </w:tcPr>
          <w:p>
            <w:pPr>
              <w:jc w:val="right"/>
              <w:ind w:right="2534"/>
              <w:spacing w:after="0"/>
              <w:rPr>
                <w:sz w:val="20"/>
                <w:szCs w:val="20"/>
                <w:color w:val="auto"/>
              </w:rPr>
            </w:pPr>
            <w:r>
              <w:rPr>
                <w:rFonts w:ascii="Times New Roman" w:cs="Times New Roman" w:eastAsia="Times New Roman" w:hAnsi="Times New Roman"/>
                <w:sz w:val="18"/>
                <w:szCs w:val="18"/>
                <w:b w:val="1"/>
                <w:bCs w:val="1"/>
                <w:color w:val="auto"/>
              </w:rPr>
              <w:t>22102</w:t>
            </w:r>
          </w:p>
        </w:tc>
      </w:tr>
      <w:tr>
        <w:trPr>
          <w:trHeight w:val="234"/>
        </w:trPr>
        <w:tc>
          <w:tcPr>
            <w:tcW w:w="50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5080" w:type="dxa"/>
            <w:vAlign w:val="bottom"/>
          </w:tcPr>
          <w:p>
            <w:pPr>
              <w:spacing w:after="0"/>
              <w:rPr>
                <w:sz w:val="24"/>
                <w:szCs w:val="24"/>
                <w:color w:val="auto"/>
              </w:rPr>
            </w:pPr>
          </w:p>
        </w:tc>
        <w:tc>
          <w:tcPr>
            <w:tcW w:w="6340" w:type="dxa"/>
            <w:vAlign w:val="bottom"/>
            <w:gridSpan w:val="3"/>
          </w:tcPr>
          <w:p>
            <w:pPr>
              <w:jc w:val="center"/>
              <w:ind w:right="4974"/>
              <w:spacing w:after="0"/>
              <w:rPr>
                <w:sz w:val="20"/>
                <w:szCs w:val="20"/>
                <w:color w:val="auto"/>
              </w:rPr>
            </w:pPr>
            <w:r>
              <w:rPr>
                <w:rFonts w:ascii="Times New Roman" w:cs="Times New Roman" w:eastAsia="Times New Roman" w:hAnsi="Times New Roman"/>
                <w:sz w:val="18"/>
                <w:szCs w:val="18"/>
                <w:b w:val="1"/>
                <w:bCs w:val="1"/>
                <w:color w:val="auto"/>
                <w:w w:val="99"/>
              </w:rPr>
              <w:t>(703) 902-2800</w:t>
            </w:r>
          </w:p>
        </w:tc>
      </w:tr>
      <w:tr>
        <w:trPr>
          <w:trHeight w:val="234"/>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65"/>
        </w:trPr>
        <w:tc>
          <w:tcPr>
            <w:tcW w:w="50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508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$.01 per share</w:t>
      </w:r>
    </w:p>
    <w:p>
      <w:pPr>
        <w:spacing w:after="0" w:line="207" w:lineRule="exact"/>
        <w:rPr>
          <w:sz w:val="24"/>
          <w:szCs w:val="24"/>
          <w:color w:val="auto"/>
        </w:rPr>
      </w:pPr>
    </w:p>
    <w:p>
      <w:pPr>
        <w:jc w:val="both"/>
        <w:ind w:right="22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right="2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54"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Non-affiliates of Primus Telecommunications Group, Incorporated held 51,065,784 shares of Common Stock as of June 30, 2003. The fair market value of the stock held by non-affiliates is $262,988,788 based on the sale price of the shares on June 30, 2003.</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31, 2004, 89,884,259 shares of Common Stock, par value $.01, were outstanding.</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412750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PRIMUS TELECOMMUNICATIONS GROUP, INCORPORATED</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25" w:lineRule="exact"/>
        <w:rPr>
          <w:sz w:val="24"/>
          <w:szCs w:val="24"/>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Primus Telecommunications Group, Incorporated and subsidiaries (the “Company”) is filing this Amendment No. 2 to Form 10-K solely for the purpose of furnishing Exhibit 32, in lieu of the duplicate text of Exhibit 31 that was inadvertently furnished as Exhibit 32 in the Company’s Form 10-K/A, Amendment No.1, for the year ended December 31, 2003, as filed with the Securities and Exchange Commission on October 15, 2004. This amendment continues to speak of the date of the original filing of the Annual Report, and the Company has not updated the disclosures to reflect any events that occurred at a later date.</w:t>
      </w:r>
    </w:p>
    <w:p>
      <w:pPr>
        <w:sectPr>
          <w:pgSz w:w="11900" w:h="16838" w:orient="portrait"/>
          <w:cols w:equalWidth="0" w:num="1">
            <w:col w:w="11420"/>
          </w:cols>
          <w:pgMar w:left="240" w:top="579" w:right="239" w:bottom="0" w:gutter="0" w:footer="0" w:header="0"/>
        </w:sectPr>
      </w:pPr>
    </w:p>
    <w:bookmarkStart w:id="1" w:name="page2"/>
    <w:bookmarkEnd w:id="1"/>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3"/>
          </w:tcPr>
          <w:p>
            <w:pPr>
              <w:jc w:val="center"/>
              <w:ind w:left="4890"/>
              <w:spacing w:after="0"/>
              <w:rPr>
                <w:sz w:val="20"/>
                <w:szCs w:val="20"/>
                <w:color w:val="auto"/>
              </w:rPr>
            </w:pPr>
            <w:r>
              <w:rPr>
                <w:rFonts w:ascii="Times New Roman" w:cs="Times New Roman" w:eastAsia="Times New Roman" w:hAnsi="Times New Roman"/>
                <w:sz w:val="18"/>
                <w:szCs w:val="18"/>
                <w:color w:val="auto"/>
              </w:rPr>
              <w:t>2</w:t>
            </w:r>
          </w:p>
        </w:tc>
        <w:tc>
          <w:tcPr>
            <w:tcW w:w="4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PRIMUS TELECOMMUNICATIONS GROUP, INCORPORATED</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INDEX TO FORM 10-K/A Amendment No. 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Item</w:t>
            </w:r>
          </w:p>
        </w:tc>
        <w:tc>
          <w:tcPr>
            <w:tcW w:w="420" w:type="dxa"/>
            <w:vAlign w:val="bottom"/>
          </w:tcPr>
          <w:p>
            <w:pPr>
              <w:spacing w:after="0"/>
              <w:rPr>
                <w:sz w:val="24"/>
                <w:szCs w:val="24"/>
                <w:color w:val="auto"/>
              </w:rPr>
            </w:pPr>
          </w:p>
        </w:tc>
        <w:tc>
          <w:tcPr>
            <w:tcW w:w="10040" w:type="dxa"/>
            <w:vAlign w:val="bottom"/>
            <w:gridSpan w:val="3"/>
            <w:vMerge w:val="restart"/>
          </w:tcPr>
          <w:p>
            <w:pPr>
              <w:ind w:left="4720"/>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IV</w:t>
              </w:r>
            </w:hyperlink>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40" w:type="dxa"/>
            <w:vAlign w:val="bottom"/>
            <w:gridSpan w:val="3"/>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4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15.</w:t>
              </w:r>
            </w:hyperlink>
          </w:p>
        </w:tc>
        <w:tc>
          <w:tcPr>
            <w:tcW w:w="120" w:type="dxa"/>
            <w:vAlign w:val="bottom"/>
          </w:tcPr>
          <w:p>
            <w:pPr>
              <w:spacing w:after="0"/>
              <w:rPr>
                <w:sz w:val="17"/>
                <w:szCs w:val="17"/>
                <w:color w:val="auto"/>
              </w:rPr>
            </w:pPr>
          </w:p>
        </w:tc>
        <w:tc>
          <w:tcPr>
            <w:tcW w:w="10460" w:type="dxa"/>
            <w:vAlign w:val="bottom"/>
            <w:gridSpan w:val="4"/>
          </w:tcPr>
          <w:p>
            <w:pPr>
              <w:ind w:left="400"/>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Exhibits, Financial Statement Schedule, and Reports on Form 8-K</w:t>
              </w:r>
            </w:hyperlink>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4740" w:type="dxa"/>
            <w:vAlign w:val="bottom"/>
            <w:tcBorders>
              <w:right w:val="single" w:sz="8" w:color="0000EE"/>
            </w:tcBorders>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Signatures</w:t>
              </w:r>
            </w:hyperlink>
          </w:p>
        </w:tc>
        <w:tc>
          <w:tcPr>
            <w:tcW w:w="1004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3"/>
          </w:tcPr>
          <w:p>
            <w:pPr>
              <w:jc w:val="center"/>
              <w:ind w:left="4890"/>
              <w:spacing w:after="0"/>
              <w:rPr>
                <w:sz w:val="20"/>
                <w:szCs w:val="20"/>
                <w:color w:val="auto"/>
              </w:rPr>
            </w:pPr>
            <w:r>
              <w:rPr>
                <w:rFonts w:ascii="Times New Roman" w:cs="Times New Roman" w:eastAsia="Times New Roman" w:hAnsi="Times New Roman"/>
                <w:sz w:val="18"/>
                <w:szCs w:val="18"/>
                <w:color w:val="auto"/>
              </w:rPr>
              <w:t>3</w:t>
            </w:r>
          </w:p>
        </w:tc>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-1806575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 AND REPORTS ON FORM 8-K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Financial Statements and Schedules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financial statements as set forth under Item 8 of this report on Form 10-K are incorporated herein.</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Financial Statement Schedules:</w:t>
            </w:r>
          </w:p>
        </w:tc>
        <w:tc>
          <w:tcPr>
            <w:tcW w:w="6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
        </w:trPr>
        <w:tc>
          <w:tcPr>
            <w:tcW w:w="2420" w:type="dxa"/>
            <w:vAlign w:val="bottom"/>
            <w:gridSpan w:val="2"/>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 Valuation and Qualifying Accounts</w:t>
            </w:r>
          </w:p>
        </w:tc>
        <w:tc>
          <w:tcPr>
            <w:tcW w:w="206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color w:val="auto"/>
                <w:w w:val="99"/>
              </w:rPr>
              <w:t>S-1***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financial statement schedules have been omitted since they are either not required, not applicable, or the information is otherwise included.</w:t>
      </w:r>
    </w:p>
    <w:p>
      <w:pPr>
        <w:spacing w:after="0" w:line="225" w:lineRule="exact"/>
        <w:rPr>
          <w:sz w:val="20"/>
          <w:szCs w:val="20"/>
          <w:color w:val="auto"/>
        </w:rPr>
      </w:pPr>
    </w:p>
    <w:p>
      <w:pPr>
        <w:ind w:left="700" w:hanging="692"/>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8-K</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Form 8-K dated October 22, 2003, was filed to announce the Company’s filing of a Registration Statement on Form S-3 with the Securities and Exchange Commission concerning the resale of September 2003 Convertible Senior Notes (and the underlying shares of common stock), as contemplated by a registration rights agreement entered into between Primus and the initial purchasers of those notes in connection with their September 15, 2003 issuance and sale pursuant to Rule 144A under the Securities Act of 1933.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dated November 6, 2003, was filed to announce the Company’s results of operations for the quarter ended September 30, 2003.</w:t>
      </w:r>
    </w:p>
    <w:p>
      <w:pPr>
        <w:spacing w:after="0" w:line="225" w:lineRule="exact"/>
        <w:rPr>
          <w:sz w:val="20"/>
          <w:szCs w:val="20"/>
          <w:color w:val="auto"/>
        </w:rPr>
      </w:pPr>
    </w:p>
    <w:p>
      <w:pPr>
        <w:ind w:left="740" w:hanging="732"/>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listing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4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6"/>
                <w:szCs w:val="16"/>
                <w:color w:val="auto"/>
              </w:rPr>
            </w:pPr>
          </w:p>
        </w:tc>
        <w:tc>
          <w:tcPr>
            <w:tcW w:w="10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Amended and Restated Certificate of Incorporation of Primus; Incorporated by reference to Exhibit 3.1 of the Registration Statement on Form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S-8, No. 333-56557 (the “S-8 Registration 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Primus.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December 31, 2002, concerning the rights of the former holders of the Company’s Series C Convertible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(the “2002 Registration Rights Agreement”); Incorporated by reference to the Company’s Form 8-K filed with the SEC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January 2, 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2002 Registration Rights Agreement; Incorporated by reference to Exhibit 4.2 to Pre-Effective Amendment No. 2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Registration Statement on Form S-3, No. 333-110234 (the “Resale S-3”).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Specimen Certificate of Primus Common Stock; Incorporated by reference to Exhibit 4.1 of the IPO Registration 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Indenture; Incorporated by reference to Exhibit 4.1 of the Registration Statement on Form S-1, No. 333-30195 (the “1997 Senior 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Indenture of Primus, as amended and restated on January 20, 1999, between Primus and First Union National Bank;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4.3 of the Company’s Annual Report on Form 10-K for the year ended December 31, 1998 (the “1998 10-K”).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Agreement of Primus; Incorporated by reference to Exhibit 4.2 of the 1997 Senior Note Registration 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Rights Agreement, dated as of December 23, 1998, between Primus and StockTrans, Inc., including the Form of Rights Certificate (Exhibit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the Certificate of Designation (Exhibit B) and the Form of Summary of Rights (Exhibit C); Incorporated by reference to Exhibit 4.1 to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Company’s Registration Statement on Form 8-A, No. 0-29092 filed with the Commission on December 30, 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of legend on certificates representing shares of Common Stock regarding Series B Junior Participating Preferred Stock Purchase 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4.2 to the Company’s Registration Statement on Form 8-A, No. 0-29092 filed with the Commission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December 30, 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c>
          <w:tcPr>
            <w:tcW w:w="10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8"/>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Indenture between Primus and First Union National Bank dated January 20, 1999; Incorporated by reference to Exhibit 4.3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Company’s Registration Statement on Form S-4, No. 333-76965, filed with the Commission on May 6, 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left blank.</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-912495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1" w:orient="portrait"/>
          <w:cols w:equalWidth="0" w:num="1">
            <w:col w:w="11440"/>
          </w:cols>
          <w:pgMar w:left="240" w:top="121" w:right="219" w:bottom="0" w:gutter="0" w:footer="0" w:header="0"/>
        </w:sectPr>
      </w:pPr>
    </w:p>
    <w:bookmarkStart w:id="2" w:name="page3"/>
    <w:bookmarkEnd w:id="2"/>
    <w:p>
      <w:pPr>
        <w:spacing w:after="0" w:line="185" w:lineRule="auto"/>
        <w:framePr w:w="400" w:h="160" w:wrap="auto" w:vAnchor="page" w:hAnchor="page" w:x="740" w:y="435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185" w:lineRule="auto"/>
        <w:framePr w:w="400" w:h="160" w:wrap="auto" w:vAnchor="page" w:hAnchor="page" w:x="740" w:y="370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w:t>
      </w:r>
    </w:p>
    <w:p>
      <w:pPr>
        <w:spacing w:after="0" w:line="185" w:lineRule="auto"/>
        <w:framePr w:w="400" w:h="160" w:wrap="auto" w:vAnchor="page" w:hAnchor="page" w:x="740" w:y="392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185" w:lineRule="auto"/>
        <w:framePr w:w="400" w:h="160" w:wrap="auto" w:vAnchor="page" w:hAnchor="page" w:x="740" w:y="327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w:t>
      </w:r>
    </w:p>
    <w:p>
      <w:pPr>
        <w:spacing w:after="0" w:line="185" w:lineRule="auto"/>
        <w:framePr w:w="400" w:h="160" w:wrap="auto" w:vAnchor="page" w:hAnchor="page" w:x="740" w:y="262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w:t>
      </w:r>
    </w:p>
    <w:p>
      <w:pPr>
        <w:spacing w:after="0" w:line="185" w:lineRule="auto"/>
        <w:framePr w:w="400" w:h="160" w:wrap="auto" w:vAnchor="page" w:hAnchor="page" w:x="740" w:y="149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w:t>
      </w:r>
    </w:p>
    <w:p>
      <w:pPr>
        <w:spacing w:after="0" w:line="185" w:lineRule="auto"/>
        <w:framePr w:w="400" w:h="160" w:wrap="auto" w:vAnchor="page" w:hAnchor="page" w:x="740" w:y="170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w:t>
      </w:r>
    </w:p>
    <w:p>
      <w:pPr>
        <w:spacing w:after="0" w:line="185" w:lineRule="auto"/>
        <w:framePr w:w="400" w:h="160" w:wrap="auto" w:vAnchor="page" w:hAnchor="page" w:x="740" w:y="192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w:t>
      </w:r>
    </w:p>
    <w:p>
      <w:pPr>
        <w:spacing w:after="0" w:line="36" w:lineRule="exact"/>
        <w:rPr>
          <w:rFonts w:ascii="Times New Roman" w:cs="Times New Roman" w:eastAsia="Times New Roman" w:hAnsi="Times New Roman"/>
          <w:sz w:val="18"/>
          <w:szCs w:val="18"/>
          <w:color w:val="auto"/>
        </w:rPr>
      </w:pPr>
    </w:p>
    <w:p>
      <w:pPr>
        <w:ind w:left="620" w:right="80" w:hanging="530"/>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4.14</w:t>
        <w:tab/>
        <w:t>Indenture, dated October 15, 1999, between the Company and First Union National Bank including therein the form of the notes; Incorporated by reference to the November S-4.</w:t>
      </w: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ind w:left="620" w:right="320" w:hanging="53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4.16</w:t>
        <w:tab/>
        <w:t>Indenture, dated February 24, 2000, between the Company and First Union National Bank; Incorporated by reference to Exhibit 4.16 to the Company’s Annual Report on Form 10-K for the year ended December 31, 2000 (the “2000 10-K”).</w:t>
      </w:r>
    </w:p>
    <w:p>
      <w:pPr>
        <w:ind w:left="80"/>
        <w:spacing w:after="0" w:line="188" w:lineRule="auto"/>
        <w:tabs>
          <w:tab w:leader="none" w:pos="600" w:val="left"/>
        </w:tabs>
        <w:rPr>
          <w:sz w:val="20"/>
          <w:szCs w:val="20"/>
          <w:color w:val="auto"/>
        </w:rPr>
      </w:pPr>
      <w:r>
        <w:rPr>
          <w:rFonts w:ascii="Times New Roman" w:cs="Times New Roman" w:eastAsia="Times New Roman" w:hAnsi="Times New Roman"/>
          <w:sz w:val="29"/>
          <w:szCs w:val="29"/>
          <w:color w:val="auto"/>
          <w:vertAlign w:val="superscript"/>
        </w:rPr>
        <w:t>4.17</w:t>
      </w:r>
      <w:r>
        <w:rPr>
          <w:sz w:val="20"/>
          <w:szCs w:val="20"/>
          <w:color w:val="auto"/>
        </w:rPr>
        <w:tab/>
      </w:r>
      <w:r>
        <w:rPr>
          <w:rFonts w:ascii="Times New Roman" w:cs="Times New Roman" w:eastAsia="Times New Roman" w:hAnsi="Times New Roman"/>
          <w:sz w:val="17"/>
          <w:szCs w:val="17"/>
          <w:color w:val="auto"/>
        </w:rPr>
        <w:t xml:space="preserve">Specimen 5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convertible subordinated debenture due 2007; Incorporated by reference to Exhibit A to Exhibit 4.16 to the 2000 10-K.</w:t>
      </w:r>
    </w:p>
    <w:p>
      <w:pPr>
        <w:spacing w:after="0" w:line="1" w:lineRule="exact"/>
        <w:rPr>
          <w:rFonts w:ascii="Times New Roman" w:cs="Times New Roman" w:eastAsia="Times New Roman" w:hAnsi="Times New Roman"/>
          <w:sz w:val="18"/>
          <w:szCs w:val="18"/>
          <w:color w:val="auto"/>
        </w:rPr>
      </w:pPr>
    </w:p>
    <w:p>
      <w:pPr>
        <w:ind w:left="620"/>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7" w:lineRule="exact"/>
        <w:rPr>
          <w:rFonts w:ascii="Times New Roman" w:cs="Times New Roman" w:eastAsia="Times New Roman" w:hAnsi="Times New Roman"/>
          <w:sz w:val="18"/>
          <w:szCs w:val="18"/>
          <w:color w:val="auto"/>
        </w:rPr>
      </w:pPr>
    </w:p>
    <w:p>
      <w:pPr>
        <w:ind w:left="620"/>
        <w:spacing w:after="0"/>
        <w:rPr>
          <w:sz w:val="20"/>
          <w:szCs w:val="20"/>
          <w:color w:val="auto"/>
        </w:rPr>
      </w:pPr>
      <w:r>
        <w:rPr>
          <w:rFonts w:ascii="Times New Roman" w:cs="Times New Roman" w:eastAsia="Times New Roman" w:hAnsi="Times New Roman"/>
          <w:sz w:val="18"/>
          <w:szCs w:val="18"/>
          <w:color w:val="auto"/>
        </w:rPr>
        <w:t>Amendment No.1 to Rights Agreement, dated as of December 30, 2002, between Primus and StockTrans, Inc.</w:t>
      </w:r>
    </w:p>
    <w:p>
      <w:pPr>
        <w:spacing w:after="0" w:line="9" w:lineRule="exact"/>
        <w:rPr>
          <w:rFonts w:ascii="Times New Roman" w:cs="Times New Roman" w:eastAsia="Times New Roman" w:hAnsi="Times New Roman"/>
          <w:sz w:val="18"/>
          <w:szCs w:val="18"/>
          <w:color w:val="auto"/>
        </w:rPr>
      </w:pPr>
    </w:p>
    <w:p>
      <w:pPr>
        <w:ind w:left="620" w:right="40"/>
        <w:spacing w:after="0" w:line="222" w:lineRule="auto"/>
        <w:rPr>
          <w:sz w:val="20"/>
          <w:szCs w:val="20"/>
          <w:color w:val="auto"/>
        </w:rPr>
      </w:pPr>
      <w:r>
        <w:rPr>
          <w:rFonts w:ascii="Times New Roman" w:cs="Times New Roman" w:eastAsia="Times New Roman" w:hAnsi="Times New Roman"/>
          <w:sz w:val="18"/>
          <w:szCs w:val="18"/>
          <w:color w:val="auto"/>
        </w:rPr>
        <w:t>Indenture dated as of September 15, 2003 between the Company and Wachovia Bank, National Association, concerning the Company’s 3</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convertible notes, including therein the forms of the notes; Incorporated by reference to Exhibit 4.1 of Post-Effective Amendment No. 1 (No. 333-109902) to the Company’s Registration Statement on Form S-3.</w:t>
      </w:r>
    </w:p>
    <w:p>
      <w:pPr>
        <w:ind w:left="620" w:right="240"/>
        <w:spacing w:after="0" w:line="250" w:lineRule="auto"/>
        <w:rPr>
          <w:sz w:val="20"/>
          <w:szCs w:val="20"/>
          <w:color w:val="auto"/>
        </w:rPr>
      </w:pPr>
      <w:r>
        <w:rPr>
          <w:rFonts w:ascii="Times New Roman" w:cs="Times New Roman" w:eastAsia="Times New Roman" w:hAnsi="Times New Roman"/>
          <w:sz w:val="18"/>
          <w:szCs w:val="18"/>
          <w:color w:val="auto"/>
        </w:rPr>
        <w:t>Registration Rights Agreement dated as of September 15, 2003 between the Company, Lehman Brothers Inc. and Harris Nesbitt Corp; Incorporated by reference to Exhibit 4.2 of Post-Effective Amendment No. 1 (No. 333-109902) to the Company’s Registration Statement on Form S-3.</w:t>
      </w:r>
    </w:p>
    <w:p>
      <w:pPr>
        <w:spacing w:after="0" w:line="1" w:lineRule="exact"/>
        <w:rPr>
          <w:rFonts w:ascii="Times New Roman" w:cs="Times New Roman" w:eastAsia="Times New Roman" w:hAnsi="Times New Roman"/>
          <w:sz w:val="18"/>
          <w:szCs w:val="18"/>
          <w:color w:val="auto"/>
        </w:rPr>
      </w:pPr>
    </w:p>
    <w:p>
      <w:pPr>
        <w:ind w:left="620" w:right="880"/>
        <w:spacing w:after="0" w:line="250" w:lineRule="auto"/>
        <w:rPr>
          <w:sz w:val="20"/>
          <w:szCs w:val="20"/>
          <w:color w:val="auto"/>
        </w:rPr>
      </w:pPr>
      <w:r>
        <w:rPr>
          <w:rFonts w:ascii="Times New Roman" w:cs="Times New Roman" w:eastAsia="Times New Roman" w:hAnsi="Times New Roman"/>
          <w:sz w:val="18"/>
          <w:szCs w:val="18"/>
          <w:color w:val="auto"/>
        </w:rPr>
        <w:t>Form of Senior Debt Indenture under Universal Shelf Registration Statement on Form S-3 (No. 333-110241) (the “Universal S-3”); Incorporated by reference to Exhibit 4.3 of the Universal S-3.</w:t>
      </w:r>
    </w:p>
    <w:p>
      <w:pPr>
        <w:spacing w:after="0" w:line="1" w:lineRule="exact"/>
        <w:rPr>
          <w:rFonts w:ascii="Times New Roman" w:cs="Times New Roman" w:eastAsia="Times New Roman" w:hAnsi="Times New Roman"/>
          <w:sz w:val="18"/>
          <w:szCs w:val="18"/>
          <w:color w:val="auto"/>
        </w:rPr>
      </w:pPr>
    </w:p>
    <w:p>
      <w:pPr>
        <w:ind w:left="620"/>
        <w:spacing w:after="0"/>
        <w:rPr>
          <w:sz w:val="20"/>
          <w:szCs w:val="20"/>
          <w:color w:val="auto"/>
        </w:rPr>
      </w:pPr>
      <w:r>
        <w:rPr>
          <w:rFonts w:ascii="Times New Roman" w:cs="Times New Roman" w:eastAsia="Times New Roman" w:hAnsi="Times New Roman"/>
          <w:sz w:val="18"/>
          <w:szCs w:val="18"/>
          <w:color w:val="auto"/>
        </w:rPr>
        <w:t>Form of Subordinated Debt Indenture under Universal S-3; Incorporated by reference to Exhibit 4.4 of the Universal S-3.</w:t>
      </w:r>
    </w:p>
    <w:p>
      <w:pPr>
        <w:spacing w:after="0" w:line="9" w:lineRule="exact"/>
        <w:rPr>
          <w:rFonts w:ascii="Times New Roman" w:cs="Times New Roman" w:eastAsia="Times New Roman" w:hAnsi="Times New Roman"/>
          <w:sz w:val="18"/>
          <w:szCs w:val="18"/>
          <w:color w:val="auto"/>
        </w:rPr>
      </w:pPr>
    </w:p>
    <w:p>
      <w:pPr>
        <w:ind w:left="620" w:right="520"/>
        <w:spacing w:after="0" w:line="250" w:lineRule="auto"/>
        <w:rPr>
          <w:sz w:val="20"/>
          <w:szCs w:val="20"/>
          <w:color w:val="auto"/>
        </w:rPr>
      </w:pPr>
      <w:r>
        <w:rPr>
          <w:rFonts w:ascii="Times New Roman" w:cs="Times New Roman" w:eastAsia="Times New Roman" w:hAnsi="Times New Roman"/>
          <w:sz w:val="18"/>
          <w:szCs w:val="18"/>
          <w:color w:val="auto"/>
        </w:rPr>
        <w:t>Amendment No. 1 to Stockholder Agreement among Warburg, Pincus, K. Paul Singh, Primus, and TresCom, dated as of April 16, 1998; Incorporated by reference to Exhibit 10.1 of the Form 8-K for Amendments.</w:t>
      </w:r>
    </w:p>
    <w:p>
      <w:pPr>
        <w:spacing w:after="0" w:line="1" w:lineRule="exact"/>
        <w:rPr>
          <w:rFonts w:ascii="Times New Roman" w:cs="Times New Roman" w:eastAsia="Times New Roman" w:hAnsi="Times New Roman"/>
          <w:sz w:val="18"/>
          <w:szCs w:val="18"/>
          <w:color w:val="auto"/>
        </w:rPr>
      </w:pPr>
    </w:p>
    <w:p>
      <w:pPr>
        <w:ind w:left="620" w:right="100"/>
        <w:spacing w:after="0" w:line="250" w:lineRule="auto"/>
        <w:rPr>
          <w:sz w:val="20"/>
          <w:szCs w:val="20"/>
          <w:color w:val="auto"/>
        </w:rPr>
      </w:pPr>
      <w:r>
        <w:rPr>
          <w:rFonts w:ascii="Times New Roman" w:cs="Times New Roman" w:eastAsia="Times New Roman" w:hAnsi="Times New Roman"/>
          <w:sz w:val="18"/>
          <w:szCs w:val="18"/>
          <w:color w:val="auto"/>
        </w:rPr>
        <w:t>Switched Transit Agreement, dated June 5, 1995, between Teleglobe USA, Inc. and Primus for the provision of services to India; Incorporated by reference to Exhibit 10.2 of the IPO Registration Statement.</w:t>
      </w:r>
    </w:p>
    <w:p>
      <w:pPr>
        <w:spacing w:after="0" w:line="1" w:lineRule="exact"/>
        <w:rPr>
          <w:rFonts w:ascii="Times New Roman" w:cs="Times New Roman" w:eastAsia="Times New Roman" w:hAnsi="Times New Roman"/>
          <w:sz w:val="18"/>
          <w:szCs w:val="18"/>
          <w:color w:val="auto"/>
        </w:rPr>
      </w:pPr>
    </w:p>
    <w:p>
      <w:pPr>
        <w:ind w:left="620" w:right="640" w:hanging="53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10.3</w:t>
        <w:tab/>
        <w:t>Hardpatch Transit Agreement, dated February 29, 1996, between Teleglobe USA, Inc. and Primus for the provision of services to Iran; Incorporated by reference to Exhibit 10.3 of the IPO Registration Statement.</w:t>
      </w:r>
    </w:p>
    <w:p>
      <w:pPr>
        <w:spacing w:after="0" w:line="1" w:lineRule="exact"/>
        <w:rPr>
          <w:rFonts w:ascii="Times New Roman" w:cs="Times New Roman" w:eastAsia="Times New Roman" w:hAnsi="Times New Roman"/>
          <w:sz w:val="18"/>
          <w:szCs w:val="18"/>
          <w:color w:val="auto"/>
        </w:rPr>
      </w:pPr>
    </w:p>
    <w:p>
      <w:pPr>
        <w:ind w:left="620" w:right="660" w:hanging="53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10.4</w:t>
        <w:tab/>
        <w:t>Employment Agreement, dated June 1, 1994, between Primus and K. Paul Singh; Incorporated by reference to Exhibit 10.5 of the IPO Registration Statement.*</w:t>
      </w:r>
    </w:p>
    <w:p>
      <w:pPr>
        <w:spacing w:after="0" w:line="1" w:lineRule="exact"/>
        <w:rPr>
          <w:rFonts w:ascii="Times New Roman" w:cs="Times New Roman" w:eastAsia="Times New Roman" w:hAnsi="Times New Roman"/>
          <w:sz w:val="18"/>
          <w:szCs w:val="18"/>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Primus 1995 Stock Option Plan, as amended; Incorporated by reference to Exhibit 10.5 of the 2000 10-K.*</w:t>
      </w:r>
    </w:p>
    <w:p>
      <w:pPr>
        <w:spacing w:after="0" w:line="9" w:lineRule="exact"/>
        <w:rPr>
          <w:rFonts w:ascii="Times New Roman" w:cs="Times New Roman" w:eastAsia="Times New Roman" w:hAnsi="Times New Roman"/>
          <w:sz w:val="18"/>
          <w:szCs w:val="18"/>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10.6</w:t>
        <w:tab/>
        <w:t>Primus 1995 Director Stock Option Plan; Incorporated by reference to Exhibit 10.7 of the IPO Registration Statement.*</w:t>
      </w:r>
    </w:p>
    <w:p>
      <w:pPr>
        <w:spacing w:after="0" w:line="9" w:lineRule="exact"/>
        <w:rPr>
          <w:rFonts w:ascii="Times New Roman" w:cs="Times New Roman" w:eastAsia="Times New Roman" w:hAnsi="Times New Roman"/>
          <w:sz w:val="18"/>
          <w:szCs w:val="18"/>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ind w:left="620" w:right="360" w:hanging="53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10.8</w:t>
        <w:tab/>
        <w:t>Service Provider Agreement between Telstra Corporation Limited and Axicorp Pty., Ltd., dated May 3, 1995; Incorporated by reference to Exhibit 10.12 of the IPO Registration Statement.</w:t>
      </w:r>
    </w:p>
    <w:p>
      <w:pPr>
        <w:spacing w:after="0" w:line="1" w:lineRule="exact"/>
        <w:rPr>
          <w:rFonts w:ascii="Times New Roman" w:cs="Times New Roman" w:eastAsia="Times New Roman" w:hAnsi="Times New Roman"/>
          <w:sz w:val="18"/>
          <w:szCs w:val="18"/>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Dealer Agreement between Telstra Corporation Limited and Axicorp Pty., Ltd. dated January 8, 1996; Incorporated by reference to Exhibit</w:t>
      </w:r>
    </w:p>
    <w:p>
      <w:pPr>
        <w:spacing w:after="0" w:line="9" w:lineRule="exact"/>
        <w:rPr>
          <w:rFonts w:ascii="Times New Roman" w:cs="Times New Roman" w:eastAsia="Times New Roman" w:hAnsi="Times New Roman"/>
          <w:sz w:val="18"/>
          <w:szCs w:val="18"/>
          <w:color w:val="auto"/>
        </w:rPr>
      </w:pPr>
    </w:p>
    <w:p>
      <w:pPr>
        <w:ind w:left="620"/>
        <w:spacing w:after="0"/>
        <w:rPr>
          <w:sz w:val="20"/>
          <w:szCs w:val="20"/>
          <w:color w:val="auto"/>
        </w:rPr>
      </w:pPr>
      <w:r>
        <w:rPr>
          <w:rFonts w:ascii="Times New Roman" w:cs="Times New Roman" w:eastAsia="Times New Roman" w:hAnsi="Times New Roman"/>
          <w:sz w:val="18"/>
          <w:szCs w:val="18"/>
          <w:color w:val="auto"/>
        </w:rPr>
        <w:t>10.13 of the IPO Registration Statement.</w:t>
      </w:r>
    </w:p>
    <w:p>
      <w:pPr>
        <w:spacing w:after="0" w:line="9" w:lineRule="exact"/>
        <w:rPr>
          <w:rFonts w:ascii="Times New Roman" w:cs="Times New Roman" w:eastAsia="Times New Roman" w:hAnsi="Times New Roman"/>
          <w:sz w:val="18"/>
          <w:szCs w:val="18"/>
          <w:color w:val="auto"/>
        </w:rPr>
      </w:pPr>
    </w:p>
    <w:p>
      <w:pPr>
        <w:ind w:left="620" w:right="34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10.10</w:t>
        <w:tab/>
        <w:t>Hardpatch Transit Agreement dated October 5, 1995 between Teleglobe USA, Inc. and Primus regarding the provision of services to India; Incorporated by reference to Exhibit 10.14 of the IPO Registration Statement.</w:t>
      </w:r>
    </w:p>
    <w:p>
      <w:pPr>
        <w:spacing w:after="0" w:line="1" w:lineRule="exact"/>
        <w:rPr>
          <w:rFonts w:ascii="Times New Roman" w:cs="Times New Roman" w:eastAsia="Times New Roman" w:hAnsi="Times New Roman"/>
          <w:sz w:val="18"/>
          <w:szCs w:val="18"/>
          <w:color w:val="auto"/>
        </w:rPr>
      </w:pPr>
    </w:p>
    <w:p>
      <w:pPr>
        <w:ind w:left="620" w:right="260" w:hanging="613"/>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10.11</w:t>
        <w:tab/>
        <w:t>Master Lease Agreement dated as of November 21, 1997 between NTFC Capital Corporation and Primus Telecommunications, Inc.; Incorporated by reference to Exhibit 10.17 of Primus’s Annual Report on Form 10-K for the year ended December 31, 1997, as amended on Form 10-K/A dated April 30, 1998 (the “1997 10-K”).</w:t>
      </w:r>
    </w:p>
    <w:p>
      <w:pPr>
        <w:spacing w:after="0" w:line="1"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Primus Employee Stock Purchase Plan; Incorporated by reference to Exhibit 10.15 of the 1997 Senior Note Registration Statement.*</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color w:val="auto"/>
        </w:rPr>
        <w:t>Primus 401(k) Plan; Incorporated by reference to Exhibit 4.4 of the Primus Registration Statement on Form S-8 (No. 333-35005).</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Primus Telecommunications Group, Incorporated-TresCom International Stock Option Plan; Incorporated by reference to Exhibit 4.1 of the S-</w:t>
      </w:r>
    </w:p>
    <w:p>
      <w:pPr>
        <w:spacing w:after="0" w:line="9" w:lineRule="exact"/>
        <w:rPr>
          <w:rFonts w:ascii="Times New Roman" w:cs="Times New Roman" w:eastAsia="Times New Roman" w:hAnsi="Times New Roman"/>
          <w:sz w:val="18"/>
          <w:szCs w:val="18"/>
          <w:color w:val="auto"/>
        </w:rPr>
      </w:pPr>
    </w:p>
    <w:p>
      <w:pPr>
        <w:ind w:left="620"/>
        <w:spacing w:after="0"/>
        <w:rPr>
          <w:sz w:val="20"/>
          <w:szCs w:val="20"/>
          <w:color w:val="auto"/>
        </w:rPr>
      </w:pPr>
      <w:r>
        <w:rPr>
          <w:rFonts w:ascii="Times New Roman" w:cs="Times New Roman" w:eastAsia="Times New Roman" w:hAnsi="Times New Roman"/>
          <w:sz w:val="18"/>
          <w:szCs w:val="18"/>
          <w:color w:val="auto"/>
        </w:rPr>
        <w:t>8 Registration Statement.*</w:t>
      </w:r>
    </w:p>
    <w:p>
      <w:pPr>
        <w:spacing w:after="0" w:line="9" w:lineRule="exact"/>
        <w:rPr>
          <w:rFonts w:ascii="Times New Roman" w:cs="Times New Roman" w:eastAsia="Times New Roman" w:hAnsi="Times New Roman"/>
          <w:sz w:val="18"/>
          <w:szCs w:val="18"/>
          <w:color w:val="auto"/>
        </w:rPr>
      </w:pPr>
    </w:p>
    <w:p>
      <w:pPr>
        <w:ind w:left="620" w:right="42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10.16</w:t>
        <w:tab/>
        <w:t>Warrant Agreement between the Company and Warburg, Pincus Investors, L.P.; Incorporated by reference to Exhibit 10.6 to the TresCom Form S-1.</w:t>
      </w:r>
    </w:p>
    <w:p>
      <w:pPr>
        <w:spacing w:after="0" w:line="1" w:lineRule="exact"/>
        <w:rPr>
          <w:rFonts w:ascii="Times New Roman" w:cs="Times New Roman" w:eastAsia="Times New Roman" w:hAnsi="Times New Roman"/>
          <w:sz w:val="18"/>
          <w:szCs w:val="18"/>
          <w:color w:val="auto"/>
        </w:rPr>
      </w:pPr>
    </w:p>
    <w:p>
      <w:pPr>
        <w:ind w:left="620" w:right="8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10.17</w:t>
        <w:tab/>
        <w:t>Form of Indemnification Agreement between the Company and its directors and executive officers; Incorporated by reference to Exhibit 10.23 to the TresCom Form S-1.</w:t>
      </w:r>
    </w:p>
    <w:p>
      <w:pPr>
        <w:spacing w:after="0" w:line="1" w:lineRule="exact"/>
        <w:rPr>
          <w:rFonts w:ascii="Times New Roman" w:cs="Times New Roman" w:eastAsia="Times New Roman" w:hAnsi="Times New Roman"/>
          <w:sz w:val="18"/>
          <w:szCs w:val="18"/>
          <w:color w:val="auto"/>
        </w:rPr>
      </w:pPr>
    </w:p>
    <w:p>
      <w:pPr>
        <w:ind w:left="620" w:right="240" w:hanging="620"/>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10.18</w:t>
        <w:tab/>
        <w:t>The Company’s 1998 Restricted Stock Plan; Incorporated by reference to Exhibit 10.33 to Amendment No. 1 to the Company’s Registration Statement on Form S-3, No. 333-86839, filed with the Commission on September 17, 1999.</w:t>
      </w:r>
    </w:p>
    <w:p>
      <w:pPr>
        <w:spacing w:after="0" w:line="180" w:lineRule="exact"/>
        <w:rPr>
          <w:rFonts w:ascii="Times New Roman" w:cs="Times New Roman" w:eastAsia="Times New Roman" w:hAnsi="Times New Roman"/>
          <w:sz w:val="18"/>
          <w:szCs w:val="18"/>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75565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ind w:left="620" w:right="60" w:hanging="620"/>
        <w:spacing w:after="0" w:line="257" w:lineRule="auto"/>
        <w:tabs>
          <w:tab w:leader="none" w:pos="600" w:val="left"/>
        </w:tabs>
        <w:rPr>
          <w:sz w:val="20"/>
          <w:szCs w:val="20"/>
          <w:color w:val="auto"/>
        </w:rPr>
      </w:pPr>
      <w:r>
        <w:rPr>
          <w:rFonts w:ascii="Times New Roman" w:cs="Times New Roman" w:eastAsia="Times New Roman" w:hAnsi="Times New Roman"/>
          <w:sz w:val="18"/>
          <w:szCs w:val="18"/>
          <w:color w:val="auto"/>
        </w:rPr>
        <w:t>10.19</w:t>
        <w:tab/>
        <w:t>Agreement for the Reciprocal Purchase of Capacity On the Systems of Each of the Company and Global Crossing Holdings Ltd. Effective as of May 24, 1999; Incorporated by reference to Exhibit 10.19 of the Company’s Annual Report on Form 10-K for the year ended December 31, 1999 (the “1999 10-K”).</w:t>
      </w:r>
    </w:p>
    <w:p>
      <w:pPr>
        <w:spacing w:after="0" w:line="2" w:lineRule="exact"/>
        <w:rPr>
          <w:rFonts w:ascii="Times New Roman" w:cs="Times New Roman" w:eastAsia="Times New Roman" w:hAnsi="Times New Roman"/>
          <w:sz w:val="18"/>
          <w:szCs w:val="18"/>
          <w:color w:val="auto"/>
        </w:rPr>
      </w:pPr>
    </w:p>
    <w:p>
      <w:pPr>
        <w:ind w:left="620" w:right="6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10.20</w:t>
        <w:tab/>
        <w:t>Indefeasible Right of Use Agreement between Primus Telecommunications, Inc. and Qwest Communications Corporation dated December 30, 1999; Incorporated by reference to Exhibit 10.20 of the Company’s 1999 10-K.</w:t>
      </w:r>
    </w:p>
    <w:p>
      <w:pPr>
        <w:spacing w:after="0" w:line="1" w:lineRule="exact"/>
        <w:rPr>
          <w:rFonts w:ascii="Times New Roman" w:cs="Times New Roman" w:eastAsia="Times New Roman" w:hAnsi="Times New Roman"/>
          <w:sz w:val="18"/>
          <w:szCs w:val="18"/>
          <w:color w:val="auto"/>
        </w:rPr>
      </w:pPr>
    </w:p>
    <w:p>
      <w:pPr>
        <w:ind w:left="620" w:right="50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10.21</w:t>
        <w:tab/>
        <w:t>Common Stock Purchase Agreement between the Company and Pilot Network Services, Inc. dated December 28, 1999; Incorporated by reference to Exhibit 10.21 of the Company’s 1999 10-K.</w:t>
      </w:r>
    </w:p>
    <w:p>
      <w:pPr>
        <w:spacing w:after="0" w:line="1" w:lineRule="exact"/>
        <w:rPr>
          <w:rFonts w:ascii="Times New Roman" w:cs="Times New Roman" w:eastAsia="Times New Roman" w:hAnsi="Times New Roman"/>
          <w:sz w:val="18"/>
          <w:szCs w:val="18"/>
          <w:color w:val="auto"/>
        </w:rPr>
      </w:pPr>
    </w:p>
    <w:p>
      <w:pPr>
        <w:ind w:left="620" w:right="66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10.22</w:t>
        <w:tab/>
        <w:t>Warrant to purchase up to 200,000 shares of common stock of Pilot Network Services, Inc. dated December 28, 1999; Incorporated by reference to Exhibit 10.22 of the Company’s 1999 10-K.</w:t>
      </w:r>
    </w:p>
    <w:p>
      <w:pPr>
        <w:spacing w:after="0" w:line="1"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7"/>
          <w:szCs w:val="17"/>
          <w:color w:val="auto"/>
        </w:rPr>
        <w:t>Intentionally left blank.</w:t>
      </w:r>
    </w:p>
    <w:p>
      <w:pPr>
        <w:spacing w:after="0" w:line="9" w:lineRule="exact"/>
        <w:rPr>
          <w:rFonts w:ascii="Times New Roman" w:cs="Times New Roman" w:eastAsia="Times New Roman" w:hAnsi="Times New Roman"/>
          <w:sz w:val="18"/>
          <w:szCs w:val="18"/>
          <w:color w:val="auto"/>
        </w:rPr>
      </w:pPr>
    </w:p>
    <w:p>
      <w:pPr>
        <w:ind w:left="620" w:right="24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10.28</w:t>
        <w:tab/>
        <w:t>Form of Promissory Note issued prior to July 30, 2002 by certain officers to the Company; Incorporated by reference to Exhibit 10.28 of the Company’s 2000 10-K.</w:t>
      </w:r>
    </w:p>
    <w:p>
      <w:pPr>
        <w:spacing w:after="0" w:line="1" w:lineRule="exact"/>
        <w:rPr>
          <w:rFonts w:ascii="Times New Roman" w:cs="Times New Roman" w:eastAsia="Times New Roman" w:hAnsi="Times New Roman"/>
          <w:sz w:val="18"/>
          <w:szCs w:val="18"/>
          <w:color w:val="auto"/>
        </w:rPr>
      </w:pPr>
    </w:p>
    <w:p>
      <w:pPr>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10.29</w:t>
        <w:tab/>
        <w:t>Form of Security Agreement issued prior to July 30, 2002 by certain officers to the Company; Incorporated by reference to Exhibit 10.29 of the Company’s 2000 10-K.</w:t>
      </w:r>
    </w:p>
    <w:p>
      <w:pPr>
        <w:spacing w:after="0" w:line="1" w:lineRule="exact"/>
        <w:rPr>
          <w:rFonts w:ascii="Times New Roman" w:cs="Times New Roman" w:eastAsia="Times New Roman" w:hAnsi="Times New Roman"/>
          <w:sz w:val="18"/>
          <w:szCs w:val="18"/>
          <w:color w:val="auto"/>
        </w:rPr>
      </w:pPr>
    </w:p>
    <w:p>
      <w:pPr>
        <w:ind w:left="620" w:right="20" w:hanging="620"/>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10.30</w:t>
        <w:tab/>
        <w:t>Customer Transfer Agreement by and between the Company and Cable &amp; Wireless USA, Inc. dated as of September 13, 2002; Incorporated by reference to Exhibit 2.1 of the Company’s quarterly report on Form 10-Q for the quarter ended September 30, 2002.</w:t>
      </w:r>
    </w:p>
    <w:p>
      <w:pPr>
        <w:spacing w:after="0" w:line="1" w:lineRule="exact"/>
        <w:rPr>
          <w:rFonts w:ascii="Times New Roman" w:cs="Times New Roman" w:eastAsia="Times New Roman" w:hAnsi="Times New Roman"/>
          <w:sz w:val="18"/>
          <w:szCs w:val="18"/>
          <w:color w:val="auto"/>
        </w:rPr>
      </w:pPr>
    </w:p>
    <w:p>
      <w:pPr>
        <w:ind w:left="620" w:hanging="401"/>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Computation of ratio of earnings to fixed charges.***</w:t>
      </w:r>
    </w:p>
    <w:p>
      <w:pPr>
        <w:spacing w:after="0" w:line="9"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Subsidiaries of the Registrant.***</w:t>
      </w:r>
    </w:p>
    <w:p>
      <w:pPr>
        <w:spacing w:after="0" w:line="9"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Consent of Independent Registered Public Accounting Firm.****</w:t>
      </w:r>
    </w:p>
    <w:p>
      <w:pPr>
        <w:sectPr>
          <w:pgSz w:w="11900" w:h="16875" w:orient="portrait"/>
          <w:cols w:equalWidth="0" w:num="1">
            <w:col w:w="10960"/>
          </w:cols>
          <w:pgMar w:left="700" w:top="121" w:right="239" w:bottom="0" w:gutter="0" w:footer="0" w:header="0"/>
        </w:sectPr>
      </w:pPr>
    </w:p>
    <w:bookmarkStart w:id="3" w:name="page4"/>
    <w:bookmarkEnd w:id="3"/>
    <w:p>
      <w:pPr>
        <w:ind w:left="1080" w:hanging="401"/>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7" w:lineRule="exact"/>
        <w:rPr>
          <w:rFonts w:ascii="Times New Roman" w:cs="Times New Roman" w:eastAsia="Times New Roman" w:hAnsi="Times New Roman"/>
          <w:sz w:val="18"/>
          <w:szCs w:val="18"/>
          <w:color w:val="auto"/>
        </w:rPr>
      </w:pPr>
    </w:p>
    <w:p>
      <w:pPr>
        <w:ind w:left="1080" w:hanging="401"/>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w:t>
      </w:r>
    </w:p>
    <w:p>
      <w:pPr>
        <w:spacing w:after="0" w:line="9" w:lineRule="exact"/>
        <w:rPr>
          <w:sz w:val="20"/>
          <w:szCs w:val="20"/>
          <w:color w:val="auto"/>
        </w:rPr>
      </w:pPr>
    </w:p>
    <w:p>
      <w:pPr>
        <w:ind w:left="1080" w:right="480" w:hanging="530"/>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99.1</w:t>
        <w:tab/>
        <w:t>Lock-Up Agreement, as amended, dated November 21, 2003 among the Company and certain stockholders; Incorporated by reference to Exhibit 4.3 of the Resale S-3.</w:t>
      </w:r>
    </w:p>
    <w:p>
      <w:pPr>
        <w:spacing w:after="0" w:line="1" w:lineRule="exact"/>
        <w:rPr>
          <w:sz w:val="20"/>
          <w:szCs w:val="20"/>
          <w:color w:val="auto"/>
        </w:rPr>
      </w:pPr>
    </w:p>
    <w:p>
      <w:pPr>
        <w:ind w:left="1080" w:right="920" w:hanging="530"/>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99.2</w:t>
        <w:tab/>
        <w:t>Contractual/Governance Agreement dated November 4, 2003, the Company and certain stockholders; Incorporated by reference to Exhibit 99.1 of the Resale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2" w:lineRule="exact"/>
        <w:rPr>
          <w:sz w:val="20"/>
          <w:szCs w:val="20"/>
          <w:color w:val="auto"/>
        </w:rPr>
      </w:pPr>
    </w:p>
    <w:p>
      <w:pPr>
        <w:ind w:left="720" w:hanging="71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benefit plan.</w:t>
      </w:r>
    </w:p>
    <w:p>
      <w:pPr>
        <w:spacing w:after="0" w:line="225" w:lineRule="exact"/>
        <w:rPr>
          <w:sz w:val="20"/>
          <w:szCs w:val="20"/>
          <w:color w:val="auto"/>
        </w:rPr>
      </w:pPr>
    </w:p>
    <w:p>
      <w:pPr>
        <w:ind w:right="60" w:firstLine="8"/>
        <w:spacing w:after="0" w:line="266"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and will not be deemed “filed” for purposes of Section 18 of the Securities Exchange Act (15 U.S.C. 78r) and will not be deemed to be incorporated by reference into any filing under the Securities Act of 1933 or the Securities Exchange Act of 1934, except to the extent that the registrant specifically incorporates it by reference.</w:t>
      </w:r>
    </w:p>
    <w:p>
      <w:pPr>
        <w:spacing w:after="0" w:line="176"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as part of the Company’s annual report on Form 10-K for the year ended December 31, 2003.</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as part of the Company’s Form 10-K/A, Amendment No. 1 for the year ended December 31, 2003.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the Securities Exchange Act of 1934, the Registrant has duly caused this report to be signed on its behalf by the undersigned, thereunto duly authorized on November 8, 2004.</w:t>
      </w:r>
    </w:p>
    <w:p>
      <w:pPr>
        <w:spacing w:after="0" w:line="1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PRIMUS TELECOMMUNICATIONS GROUP, INCORPORATED</w:t>
      </w:r>
    </w:p>
    <w:p>
      <w:pPr>
        <w:spacing w:after="0" w:line="225"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80" w:type="dxa"/>
            <w:vAlign w:val="bottom"/>
          </w:tcPr>
          <w:p>
            <w:pPr>
              <w:spacing w:after="0"/>
              <w:rPr>
                <w:sz w:val="20"/>
                <w:szCs w:val="20"/>
                <w:color w:val="auto"/>
              </w:rPr>
            </w:pPr>
          </w:p>
        </w:tc>
        <w:tc>
          <w:tcPr>
            <w:tcW w:w="42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/s/ K. Paul Singh</w:t>
            </w:r>
          </w:p>
        </w:tc>
      </w:tr>
      <w:tr>
        <w:trPr>
          <w:trHeight w:val="176"/>
        </w:trPr>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20" w:type="dxa"/>
            <w:vAlign w:val="bottom"/>
            <w:tcBorders>
              <w:top w:val="single" w:sz="8" w:color="auto"/>
            </w:tcBorders>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K. Paul Singh</w:t>
            </w:r>
          </w:p>
        </w:tc>
        <w:tc>
          <w:tcPr>
            <w:tcW w:w="400" w:type="dxa"/>
            <w:vAlign w:val="bottom"/>
          </w:tcPr>
          <w:p>
            <w:pPr>
              <w:spacing w:after="0"/>
              <w:rPr>
                <w:sz w:val="15"/>
                <w:szCs w:val="15"/>
                <w:color w:val="auto"/>
              </w:rPr>
            </w:pPr>
          </w:p>
        </w:tc>
      </w:tr>
      <w:tr>
        <w:trPr>
          <w:trHeight w:val="236"/>
        </w:trPr>
        <w:tc>
          <w:tcPr>
            <w:tcW w:w="1280" w:type="dxa"/>
            <w:vAlign w:val="bottom"/>
          </w:tcPr>
          <w:p>
            <w:pPr>
              <w:spacing w:after="0"/>
              <w:rPr>
                <w:sz w:val="20"/>
                <w:szCs w:val="20"/>
                <w:color w:val="auto"/>
              </w:rPr>
            </w:pPr>
          </w:p>
        </w:tc>
        <w:tc>
          <w:tcPr>
            <w:tcW w:w="55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i w:val="1"/>
                <w:iCs w:val="1"/>
                <w:color w:val="auto"/>
                <w:w w:val="99"/>
              </w:rPr>
              <w:t>Chairman of the Board, President and Chief Executive Officer</w:t>
            </w: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594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spacing w:after="0"/>
              <w:rPr>
                <w:sz w:val="15"/>
                <w:szCs w:val="15"/>
                <w:color w:val="auto"/>
              </w:rPr>
            </w:pPr>
          </w:p>
        </w:tc>
        <w:tc>
          <w:tcPr>
            <w:tcW w:w="19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58"/>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K. Paul Singh</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 (Principal</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K. Paul Singh</w:t>
            </w:r>
          </w:p>
        </w:tc>
        <w:tc>
          <w:tcPr>
            <w:tcW w:w="24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John F. Depodesta</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Secretary and Director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John F. Depodesta</w:t>
            </w:r>
          </w:p>
        </w:tc>
        <w:tc>
          <w:tcPr>
            <w:tcW w:w="2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/s/ Neil L. Hazard</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 and</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Neil L. Hazard</w:t>
            </w:r>
          </w:p>
        </w:tc>
        <w:tc>
          <w:tcPr>
            <w:tcW w:w="24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2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Tracy Book Lawson</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 (Principal</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Tracy Book Lawson</w:t>
            </w:r>
          </w:p>
        </w:tc>
        <w:tc>
          <w:tcPr>
            <w:tcW w:w="24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David E. Hershberg *</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David E. Hershberg</w:t>
            </w:r>
          </w:p>
        </w:tc>
        <w:tc>
          <w:tcPr>
            <w:tcW w:w="2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8"/>
              </w:rPr>
              <w:t>Pradman P. Kaul *</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7"/>
              </w:rPr>
              <w:t>Pradman P. Kaul</w:t>
            </w:r>
          </w:p>
        </w:tc>
        <w:tc>
          <w:tcPr>
            <w:tcW w:w="2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John G. Puente *</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John G. Puente</w:t>
            </w:r>
          </w:p>
        </w:tc>
        <w:tc>
          <w:tcPr>
            <w:tcW w:w="2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Douglas M. Karp *</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Douglas M. Karp</w:t>
            </w:r>
          </w:p>
        </w:tc>
        <w:tc>
          <w:tcPr>
            <w:tcW w:w="2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Paul G. Pizzani *</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228"/>
        </w:trPr>
        <w:tc>
          <w:tcPr>
            <w:tcW w:w="440" w:type="dxa"/>
            <w:vAlign w:val="bottom"/>
          </w:tcPr>
          <w:p>
            <w:pPr>
              <w:spacing w:after="0"/>
              <w:rPr>
                <w:sz w:val="19"/>
                <w:szCs w:val="19"/>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Paul G. Pizzani</w:t>
            </w:r>
          </w:p>
        </w:tc>
        <w:tc>
          <w:tcPr>
            <w:tcW w:w="24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   /s/ K. Paul Singh</w:t>
            </w:r>
          </w:p>
        </w:tc>
        <w:tc>
          <w:tcPr>
            <w:tcW w:w="24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8, 2004</w:t>
            </w:r>
          </w:p>
        </w:tc>
      </w:tr>
      <w:tr>
        <w:trPr>
          <w:trHeight w:val="189"/>
        </w:trPr>
        <w:tc>
          <w:tcPr>
            <w:tcW w:w="440" w:type="dxa"/>
            <w:vAlign w:val="bottom"/>
          </w:tcPr>
          <w:p>
            <w:pPr>
              <w:spacing w:after="0"/>
              <w:rPr>
                <w:sz w:val="16"/>
                <w:szCs w:val="16"/>
                <w:color w:val="auto"/>
              </w:rPr>
            </w:pPr>
          </w:p>
        </w:tc>
        <w:tc>
          <w:tcPr>
            <w:tcW w:w="2080" w:type="dxa"/>
            <w:vAlign w:val="bottom"/>
            <w:tcBorders>
              <w:top w:val="single" w:sz="8" w:color="auto"/>
            </w:tcBorders>
          </w:tcPr>
          <w:p>
            <w:pPr>
              <w:ind w:left="540"/>
              <w:spacing w:after="0" w:line="189" w:lineRule="exact"/>
              <w:rPr>
                <w:sz w:val="20"/>
                <w:szCs w:val="20"/>
                <w:color w:val="auto"/>
              </w:rPr>
            </w:pPr>
            <w:r>
              <w:rPr>
                <w:rFonts w:ascii="Times New Roman" w:cs="Times New Roman" w:eastAsia="Times New Roman" w:hAnsi="Times New Roman"/>
                <w:sz w:val="18"/>
                <w:szCs w:val="18"/>
                <w:color w:val="auto"/>
              </w:rPr>
              <w:t>K. Paul Singh</w:t>
            </w:r>
          </w:p>
        </w:tc>
        <w:tc>
          <w:tcPr>
            <w:tcW w:w="240" w:type="dxa"/>
            <w:vAlign w:val="bottom"/>
          </w:tcPr>
          <w:p>
            <w:pPr>
              <w:spacing w:after="0"/>
              <w:rPr>
                <w:sz w:val="16"/>
                <w:szCs w:val="16"/>
                <w:color w:val="auto"/>
              </w:rPr>
            </w:pPr>
          </w:p>
        </w:tc>
        <w:tc>
          <w:tcPr>
            <w:tcW w:w="5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(Principal Executive Officer) and Director</w:t>
            </w: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6"/>
        </w:trPr>
        <w:tc>
          <w:tcPr>
            <w:tcW w:w="440" w:type="dxa"/>
            <w:vAlign w:val="bottom"/>
          </w:tcPr>
          <w:p>
            <w:pPr>
              <w:spacing w:after="0"/>
              <w:rPr>
                <w:sz w:val="20"/>
                <w:szCs w:val="20"/>
                <w:color w:val="auto"/>
              </w:rPr>
            </w:pPr>
          </w:p>
        </w:tc>
        <w:tc>
          <w:tcPr>
            <w:tcW w:w="2080" w:type="dxa"/>
            <w:vAlign w:val="bottom"/>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2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06"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806" w:gutter="0" w:footer="0" w:header="0"/>
          <w:type w:val="continuous"/>
        </w:sectPr>
      </w:pPr>
    </w:p>
    <w:bookmarkStart w:id="4" w:name="page5"/>
    <w:bookmarkEnd w:id="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Public Company Accounting Reform and Investor Protection Act of 2002 (18 U.S.C. § 1350, as adopted), K. Paul Singh, the Chief Executive Officer of Primus Telecommunications Group, Incorporated (the “Company”), and Neil L. Hazard, the Chief Financial Officer of the Company, each hereby certifies that, to the best of his knowledge:</w:t>
      </w:r>
    </w:p>
    <w:p>
      <w:pPr>
        <w:spacing w:after="0" w:line="176" w:lineRule="exact"/>
        <w:rPr>
          <w:sz w:val="20"/>
          <w:szCs w:val="20"/>
          <w:color w:val="auto"/>
        </w:rPr>
      </w:pPr>
    </w:p>
    <w:p>
      <w:pPr>
        <w:jc w:val="both"/>
        <w:ind w:right="620" w:firstLine="656"/>
        <w:spacing w:after="0" w:line="266" w:lineRule="auto"/>
        <w:tabs>
          <w:tab w:leader="none" w:pos="1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10-K/A Amendment No. 2 for the twelve months ended December 31, 2003, to which this Certification is attached as Exhibit 32 (the “Periodic Report”), fully complies with the requirements of Section 13(a) or Section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right="80" w:firstLine="656"/>
        <w:spacing w:after="0" w:line="282" w:lineRule="auto"/>
        <w:tabs>
          <w:tab w:leader="none" w:pos="1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of the Company at the end of the period covered by the Periodic Report and results of operations of the Company for the period covered by the Periodic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8, 2004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Paul Singh</w:t>
            </w:r>
          </w:p>
        </w:tc>
        <w:tc>
          <w:tcPr>
            <w:tcW w:w="6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 Neil L. Hazard</w:t>
            </w:r>
          </w:p>
        </w:tc>
        <w:tc>
          <w:tcPr>
            <w:tcW w:w="20" w:type="dxa"/>
            <w:vAlign w:val="bottom"/>
          </w:tcPr>
          <w:p>
            <w:pPr>
              <w:spacing w:after="0"/>
              <w:rPr>
                <w:sz w:val="20"/>
                <w:szCs w:val="20"/>
                <w:color w:val="auto"/>
              </w:rPr>
            </w:pP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 Paul Singh</w:t>
            </w:r>
          </w:p>
        </w:tc>
        <w:tc>
          <w:tcPr>
            <w:tcW w:w="640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Neil L. Hazard</w:t>
            </w:r>
          </w:p>
        </w:tc>
        <w:tc>
          <w:tcPr>
            <w:tcW w:w="20" w:type="dxa"/>
            <w:vAlign w:val="bottom"/>
          </w:tcPr>
          <w:p>
            <w:pPr>
              <w:spacing w:after="0"/>
              <w:rPr>
                <w:sz w:val="16"/>
                <w:szCs w:val="16"/>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 (Principal</w:t>
            </w:r>
          </w:p>
        </w:tc>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Executive Vice President, Chief Operating Officer, and Chief</w:t>
            </w:r>
          </w:p>
        </w:tc>
        <w:tc>
          <w:tcPr>
            <w:tcW w:w="2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c>
          <w:tcPr>
            <w:tcW w:w="20" w:type="dxa"/>
            <w:vAlign w:val="bottom"/>
          </w:tcPr>
          <w:p>
            <w:pPr>
              <w:spacing w:after="0"/>
              <w:rPr>
                <w:sz w:val="20"/>
                <w:szCs w:val="20"/>
                <w:color w:val="auto"/>
              </w:rPr>
            </w:pPr>
          </w:p>
        </w:tc>
      </w:tr>
      <w:tr>
        <w:trPr>
          <w:trHeight w:val="321"/>
        </w:trPr>
        <w:tc>
          <w:tcPr>
            <w:tcW w:w="5020" w:type="dxa"/>
            <w:vAlign w:val="bottom"/>
            <w:tcBorders>
              <w:bottom w:val="single" w:sz="8" w:color="808080"/>
            </w:tcBorders>
          </w:tcPr>
          <w:p>
            <w:pPr>
              <w:spacing w:after="0"/>
              <w:rPr>
                <w:sz w:val="24"/>
                <w:szCs w:val="24"/>
                <w:color w:val="auto"/>
              </w:rPr>
            </w:pPr>
          </w:p>
        </w:tc>
        <w:tc>
          <w:tcPr>
            <w:tcW w:w="6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3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2019-12-14T07:47:01Z</dcterms:created>
  <dcterms:modified xsi:type="dcterms:W3CDTF">2019-12-14T07:47:01Z</dcterms:modified>
</cp:coreProperties>
</file>