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8.jpeg" ContentType="image/jpeg"/>
  <Override PartName="/word/media/image10.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UNITED STATES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SECURITIES AND EXCHANGE COMMISSION</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WASHINGTON, D.C. 20549</w:t>
      </w:r>
    </w:p>
    <w:p>
      <w:pPr>
        <w:pStyle w:val="TextBody"/>
        <w:bidi w:val="0"/>
        <w:spacing w:lineRule="auto" w:line="417"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CURRENT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Section 13 or 15(d) of the Securities Exchange Act of 1934</w:t>
      </w:r>
    </w:p>
    <w:tbl>
      <w:tblPr>
        <w:tblW w:w="6420" w:type="dxa"/>
        <w:jc w:val="left"/>
        <w:tblInd w:w="0" w:type="dxa"/>
        <w:tblLayout w:type="fixed"/>
        <w:tblCellMar>
          <w:top w:w="28" w:type="dxa"/>
          <w:left w:w="28" w:type="dxa"/>
          <w:bottom w:w="28" w:type="dxa"/>
          <w:right w:w="28" w:type="dxa"/>
        </w:tblCellMar>
      </w:tblPr>
      <w:tblGrid>
        <w:gridCol w:w="1481"/>
        <w:gridCol w:w="1302"/>
        <w:gridCol w:w="1312"/>
        <w:gridCol w:w="680"/>
        <w:gridCol w:w="680"/>
        <w:gridCol w:w="965"/>
      </w:tblGrid>
      <w:tr>
        <w:trPr/>
        <w:tc>
          <w:tcPr>
            <w:tcW w:w="1481"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w:t>
            </w:r>
          </w:p>
        </w:tc>
        <w:tc>
          <w:tcPr>
            <w:tcW w:w="232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720"/>
              <w:jc w:val="center"/>
              <w:rPr>
                <w:rFonts w:ascii="Times New Roman;serif" w:hAnsi="Times New Roman;serif"/>
                <w:b w:val="false"/>
                <w:color w:val="000000"/>
                <w:sz w:val="22"/>
              </w:rPr>
            </w:pPr>
            <w:r>
              <w:rPr>
                <w:rFonts w:ascii="Times New Roman;serif" w:hAnsi="Times New Roman;serif"/>
                <w:b w:val="false"/>
                <w:color w:val="000000"/>
                <w:sz w:val="22"/>
              </w:rPr>
              <w:t>August 6, 2026</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INNOVATE CORP.</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997" w:type="dxa"/>
        <w:jc w:val="left"/>
        <w:tblInd w:w="0" w:type="dxa"/>
        <w:tblLayout w:type="fixed"/>
        <w:tblCellMar>
          <w:top w:w="28" w:type="dxa"/>
          <w:left w:w="28" w:type="dxa"/>
          <w:bottom w:w="28" w:type="dxa"/>
          <w:right w:w="28" w:type="dxa"/>
        </w:tblCellMar>
      </w:tblPr>
      <w:tblGrid>
        <w:gridCol w:w="1328"/>
        <w:gridCol w:w="1167"/>
        <w:gridCol w:w="1179"/>
        <w:gridCol w:w="762"/>
        <w:gridCol w:w="762"/>
        <w:gridCol w:w="770"/>
        <w:gridCol w:w="884"/>
        <w:gridCol w:w="884"/>
        <w:gridCol w:w="1261"/>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Delaware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001-35210</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54-1708481</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5017" w:type="dxa"/>
        <w:jc w:val="left"/>
        <w:tblInd w:w="0" w:type="dxa"/>
        <w:tblLayout w:type="fixed"/>
        <w:tblCellMar>
          <w:top w:w="28" w:type="dxa"/>
          <w:left w:w="28" w:type="dxa"/>
          <w:bottom w:w="28" w:type="dxa"/>
          <w:right w:w="28" w:type="dxa"/>
        </w:tblCellMar>
      </w:tblPr>
      <w:tblGrid>
        <w:gridCol w:w="1193"/>
        <w:gridCol w:w="1051"/>
        <w:gridCol w:w="1055"/>
        <w:gridCol w:w="109"/>
        <w:gridCol w:w="109"/>
        <w:gridCol w:w="109"/>
        <w:gridCol w:w="407"/>
        <w:gridCol w:w="407"/>
        <w:gridCol w:w="577"/>
      </w:tblGrid>
      <w:tr>
        <w:trPr/>
        <w:tc>
          <w:tcPr>
            <w:tcW w:w="119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295 Madison Ave., 12th Floor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10017</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New York, 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29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left"/>
        <w:rPr/>
      </w:pPr>
      <w:r>
        <w:rPr/>
      </w:r>
    </w:p>
    <w:tbl>
      <w:tblPr>
        <w:tblW w:w="6117" w:type="dxa"/>
        <w:jc w:val="left"/>
        <w:tblInd w:w="0" w:type="dxa"/>
        <w:tblLayout w:type="fixed"/>
        <w:tblCellMar>
          <w:top w:w="28" w:type="dxa"/>
          <w:left w:w="28" w:type="dxa"/>
          <w:bottom w:w="28" w:type="dxa"/>
          <w:right w:w="28" w:type="dxa"/>
        </w:tblCellMar>
      </w:tblPr>
      <w:tblGrid>
        <w:gridCol w:w="1581"/>
        <w:gridCol w:w="1390"/>
        <w:gridCol w:w="1394"/>
        <w:gridCol w:w="109"/>
        <w:gridCol w:w="109"/>
        <w:gridCol w:w="109"/>
        <w:gridCol w:w="416"/>
        <w:gridCol w:w="416"/>
        <w:gridCol w:w="593"/>
      </w:tblGrid>
      <w:tr>
        <w:trPr/>
        <w:tc>
          <w:tcPr>
            <w:tcW w:w="1581"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(212) 235-2691</w:t>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9571" w:type="dxa"/>
        <w:jc w:val="left"/>
        <w:tblInd w:w="0" w:type="dxa"/>
        <w:tblLayout w:type="fixed"/>
        <w:tblCellMar>
          <w:top w:w="28" w:type="dxa"/>
          <w:left w:w="28" w:type="dxa"/>
          <w:bottom w:w="28" w:type="dxa"/>
          <w:right w:w="28" w:type="dxa"/>
        </w:tblCellMar>
      </w:tblPr>
      <w:tblGrid>
        <w:gridCol w:w="141"/>
        <w:gridCol w:w="124"/>
        <w:gridCol w:w="126"/>
        <w:gridCol w:w="2685"/>
        <w:gridCol w:w="2685"/>
        <w:gridCol w:w="3810"/>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Securities registered pursuant to Section 12(b) of the Act</w:t>
      </w:r>
      <w:r>
        <w:rPr>
          <w:rFonts w:ascii="Times New Roman;serif" w:hAnsi="Times New Roman;serif"/>
          <w:b/>
          <w:color w:val="000000"/>
          <w:sz w:val="14"/>
        </w:rPr>
        <w:t>:</w:t>
      </w:r>
    </w:p>
    <w:tbl>
      <w:tblPr>
        <w:tblW w:w="6433" w:type="dxa"/>
        <w:jc w:val="left"/>
        <w:tblInd w:w="0" w:type="dxa"/>
        <w:tblLayout w:type="fixed"/>
        <w:tblCellMar>
          <w:top w:w="28" w:type="dxa"/>
          <w:left w:w="28" w:type="dxa"/>
          <w:bottom w:w="28" w:type="dxa"/>
          <w:right w:w="28" w:type="dxa"/>
        </w:tblCellMar>
      </w:tblPr>
      <w:tblGrid>
        <w:gridCol w:w="959"/>
        <w:gridCol w:w="844"/>
        <w:gridCol w:w="851"/>
        <w:gridCol w:w="359"/>
        <w:gridCol w:w="359"/>
        <w:gridCol w:w="361"/>
        <w:gridCol w:w="791"/>
        <w:gridCol w:w="791"/>
        <w:gridCol w:w="1118"/>
      </w:tblGrid>
      <w:tr>
        <w:trPr/>
        <w:tc>
          <w:tcPr>
            <w:tcW w:w="95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Title of each class</w:t>
            </w:r>
          </w:p>
        </w:tc>
        <w:tc>
          <w:tcPr>
            <w:tcW w:w="107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Trading Symbol</w:t>
            </w:r>
          </w:p>
        </w:tc>
        <w:tc>
          <w:tcPr>
            <w:tcW w:w="2700"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Name of each exchange on which registered</w:t>
            </w:r>
          </w:p>
        </w:tc>
      </w:tr>
      <w:tr>
        <w:trPr/>
        <w:tc>
          <w:tcPr>
            <w:tcW w:w="265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 par value $0.001 per share</w:t>
            </w:r>
          </w:p>
        </w:tc>
        <w:tc>
          <w:tcPr>
            <w:tcW w:w="107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VATE</w:t>
            </w:r>
          </w:p>
        </w:tc>
        <w:tc>
          <w:tcPr>
            <w:tcW w:w="2700"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New York Stock Exchange</w:t>
            </w:r>
          </w:p>
        </w:tc>
      </w:tr>
      <w:tr>
        <w:trPr/>
        <w:tc>
          <w:tcPr>
            <w:tcW w:w="265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76" w:before="0" w:after="0"/>
              <w:jc w:val="center"/>
              <w:rPr>
                <w:rFonts w:ascii="Times New Roman;serif" w:hAnsi="Times New Roman;serif"/>
                <w:b/>
                <w:color w:val="000000"/>
                <w:sz w:val="14"/>
              </w:rPr>
            </w:pPr>
            <w:r>
              <w:rPr>
                <w:rFonts w:ascii="Times New Roman;serif" w:hAnsi="Times New Roman;serif"/>
                <w:b/>
                <w:color w:val="000000"/>
                <w:sz w:val="14"/>
              </w:rPr>
              <w:t>Preferred Stock Purchase Rights</w:t>
            </w:r>
          </w:p>
        </w:tc>
        <w:tc>
          <w:tcPr>
            <w:tcW w:w="107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N/A</w:t>
            </w:r>
          </w:p>
        </w:tc>
        <w:tc>
          <w:tcPr>
            <w:tcW w:w="2700"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New York Stock Exchange</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as defined in Rule 405 of the Securities Act of 1933 (§230.405 of this chapter) or Rule 12b-2 of the Securities Exchange Act of 1934 (§240.12b-2 of this chapter).</w:t>
      </w:r>
    </w:p>
    <w:tbl>
      <w:tblPr>
        <w:tblW w:w="3073" w:type="dxa"/>
        <w:jc w:val="center"/>
        <w:tblInd w:w="0" w:type="dxa"/>
        <w:tblLayout w:type="fixed"/>
        <w:tblCellMar>
          <w:top w:w="28" w:type="dxa"/>
          <w:left w:w="28" w:type="dxa"/>
          <w:bottom w:w="28" w:type="dxa"/>
          <w:right w:w="28" w:type="dxa"/>
        </w:tblCellMar>
      </w:tblPr>
      <w:tblGrid>
        <w:gridCol w:w="843"/>
        <w:gridCol w:w="738"/>
        <w:gridCol w:w="744"/>
        <w:gridCol w:w="125"/>
        <w:gridCol w:w="125"/>
        <w:gridCol w:w="126"/>
        <w:gridCol w:w="109"/>
        <w:gridCol w:w="109"/>
        <w:gridCol w:w="154"/>
      </w:tblGrid>
      <w:tr>
        <w:trPr/>
        <w:tc>
          <w:tcPr>
            <w:tcW w:w="84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3541"/>
        <w:gridCol w:w="3116"/>
        <w:gridCol w:w="3126"/>
        <w:gridCol w:w="123"/>
        <w:gridCol w:w="123"/>
        <w:gridCol w:w="176"/>
      </w:tblGrid>
      <w:tr>
        <w:trPr/>
        <w:tc>
          <w:tcPr>
            <w:tcW w:w="3541" w:type="dxa"/>
            <w:tcBorders/>
            <w:vAlign w:val="center"/>
          </w:tcPr>
          <w:p>
            <w:pPr>
              <w:pStyle w:val="TableContents"/>
              <w:bidi w:val="0"/>
              <w:spacing w:before="0" w:after="283"/>
              <w:jc w:val="left"/>
              <w:rPr>
                <w:sz w:val="4"/>
                <w:szCs w:val="4"/>
              </w:rPr>
            </w:pPr>
            <w:r>
              <w:rPr>
                <w:sz w:val="4"/>
                <w:szCs w:val="4"/>
              </w:rPr>
            </w:r>
          </w:p>
        </w:tc>
        <w:tc>
          <w:tcPr>
            <w:tcW w:w="3116" w:type="dxa"/>
            <w:tcBorders/>
            <w:vAlign w:val="center"/>
          </w:tcPr>
          <w:p>
            <w:pPr>
              <w:pStyle w:val="TableContents"/>
              <w:bidi w:val="0"/>
              <w:spacing w:before="0" w:after="283"/>
              <w:jc w:val="left"/>
              <w:rPr>
                <w:sz w:val="4"/>
                <w:szCs w:val="4"/>
              </w:rPr>
            </w:pPr>
            <w:r>
              <w:rPr>
                <w:sz w:val="4"/>
                <w:szCs w:val="4"/>
              </w:rPr>
            </w:r>
          </w:p>
        </w:tc>
        <w:tc>
          <w:tcPr>
            <w:tcW w:w="312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9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4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20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On August 6, 2026, INNOVATE Corp. (the “Company”) issued a press release announcing its results for the quarter ended June 30, 2026 (the “Earnings Release”) and posted the INNOVATE Corp. Second Quarter 2026 Conference Call Investor Presentation to its Investor Relations section of the Company’s website at </w:t>
      </w:r>
      <w:r>
        <w:rPr>
          <w:rFonts w:ascii="Times New Roman;serif" w:hAnsi="Times New Roman;serif"/>
          <w:b w:val="false"/>
          <w:color w:val="000000"/>
          <w:sz w:val="20"/>
          <w:u w:val="single"/>
        </w:rPr>
        <w:t>http://www.innovatecorp.com</w:t>
      </w:r>
      <w:r>
        <w:rPr>
          <w:rFonts w:ascii="Times New Roman;serif" w:hAnsi="Times New Roman;serif"/>
          <w:b w:val="false"/>
          <w:color w:val="000000"/>
          <w:sz w:val="20"/>
        </w:rPr>
        <w: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copy of the Earnings Release and the investor presentation are attached hereto as Exhibits 99.1 and 99.2, respectively, and are incorporated herein by reference.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val="false"/>
          <w:color w:val="000000"/>
          <w:sz w:val="20"/>
        </w:rPr>
        <w:t>As previously announced, the Company will conduct a conference call today, Thursday, August 6, 2026, at 4:30 p.m. ET. The presentation slides to be used during the call, attached hereto as Exhibit 99.2, will be available on the “Investor Relations” section of the Company’s website (</w:t>
      </w:r>
      <w:r>
        <w:rPr>
          <w:rFonts w:ascii="Times New Roman;serif" w:hAnsi="Times New Roman;serif"/>
          <w:b w:val="false"/>
          <w:color w:val="000000"/>
          <w:sz w:val="20"/>
          <w:u w:val="single"/>
        </w:rPr>
        <w:t>http://www.innovatecorp.com</w:t>
      </w:r>
      <w:r>
        <w:rPr>
          <w:rFonts w:ascii="Times New Roman;serif" w:hAnsi="Times New Roman;serif"/>
          <w:b w:val="false"/>
          <w:color w:val="000000"/>
          <w:sz w:val="20"/>
        </w:rPr>
        <w:t>) immediately prior to the call. The conference call and the presentation slides will be simultaneously webcast on the “Investor Relations” section of the Company’s website beginning at 4:30 p.m. ET on Thursday, August 6, 2026. The information contained in, or that can be accessed through the Company’s website is not a part of this filing.</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in Item 2.02 and Item 7.01 of this Current Report on Form 8-K, including Exhibits 99.1 and 99.2, is being furnished and shall not be deemed “filed” for purposes of Section 18 of the Securities Exchange Act of 1934, as amended (the “Exchange Act”), or otherwise subject to the liabilities of that Section, nor shall it be deemed incorporated by reference into any of the Company’s filings under the Securities Act of 1933, as amended, or the Exchange Act, whether made before or after the date hereof and regardless of any general incorporation language in such filings, except to the extent expressly set forth by specific reference in such a filing.</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8236" w:type="dxa"/>
        <w:jc w:val="left"/>
        <w:tblInd w:w="0" w:type="dxa"/>
        <w:tblLayout w:type="fixed"/>
        <w:tblCellMar>
          <w:top w:w="28" w:type="dxa"/>
          <w:left w:w="28" w:type="dxa"/>
          <w:bottom w:w="28" w:type="dxa"/>
          <w:right w:w="28" w:type="dxa"/>
        </w:tblCellMar>
      </w:tblPr>
      <w:tblGrid>
        <w:gridCol w:w="266"/>
        <w:gridCol w:w="234"/>
        <w:gridCol w:w="236"/>
        <w:gridCol w:w="2191"/>
        <w:gridCol w:w="2191"/>
        <w:gridCol w:w="3118"/>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3118"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Exhibit</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w:t>
            </w:r>
          </w:p>
        </w:tc>
        <w:tc>
          <w:tcPr>
            <w:tcW w:w="7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73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750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exhibit991-q22026pressrele.htm">
              <w:r>
                <w:rPr>
                  <w:rStyle w:val="InternetLink"/>
                  <w:rFonts w:ascii="Times New Roman;serif" w:hAnsi="Times New Roman;serif"/>
                  <w:b w:val="false"/>
                  <w:color w:val="000080"/>
                  <w:sz w:val="20"/>
                  <w:u w:val="single"/>
                </w:rPr>
                <w:t xml:space="preserve">Press Release of INNOVATE Corp., dated </w:t>
              </w:r>
            </w:hyperlink>
            <w:hyperlink w:anchor="exhibit991-q22026pressrele.htm">
              <w:r>
                <w:rPr>
                  <w:rStyle w:val="InternetLink"/>
                  <w:rFonts w:ascii="Times New Roman;serif" w:hAnsi="Times New Roman;serif"/>
                  <w:b w:val="false"/>
                  <w:color w:val="000080"/>
                  <w:sz w:val="20"/>
                  <w:u w:val="single"/>
                </w:rPr>
                <w:t>August 6</w:t>
              </w:r>
            </w:hyperlink>
            <w:hyperlink w:anchor="exhibit991-q22026pressrele.htm">
              <w:r>
                <w:rPr>
                  <w:rStyle w:val="InternetLink"/>
                  <w:rFonts w:ascii="Times New Roman;serif" w:hAnsi="Times New Roman;serif"/>
                  <w:b w:val="false"/>
                  <w:color w:val="000080"/>
                  <w:sz w:val="20"/>
                  <w:u w:val="single"/>
                </w:rPr>
                <w:t>, 2026</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75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earningswebcastvff.htm">
              <w:r>
                <w:rPr>
                  <w:rStyle w:val="InternetLink"/>
                  <w:rFonts w:ascii="Times New Roman;serif" w:hAnsi="Times New Roman;serif"/>
                  <w:b w:val="false"/>
                  <w:color w:val="000080"/>
                  <w:sz w:val="20"/>
                  <w:u w:val="single"/>
                </w:rPr>
                <w:t>INN</w:t>
              </w:r>
            </w:hyperlink>
            <w:hyperlink w:anchor="q22026earningswebcastvff.htm">
              <w:r>
                <w:rPr>
                  <w:rStyle w:val="InternetLink"/>
                  <w:rFonts w:ascii="Times New Roman;serif" w:hAnsi="Times New Roman;serif"/>
                  <w:b w:val="false"/>
                  <w:color w:val="000080"/>
                  <w:sz w:val="20"/>
                  <w:u w:val="single"/>
                </w:rPr>
                <w:t>OVATE Corp. Second Quarter 2026 Conference Call Investor Presentation</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7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4622" w:type="dxa"/>
        <w:jc w:val="left"/>
        <w:tblInd w:w="0" w:type="dxa"/>
        <w:tblLayout w:type="fixed"/>
        <w:tblCellMar>
          <w:top w:w="28" w:type="dxa"/>
          <w:left w:w="28" w:type="dxa"/>
          <w:bottom w:w="28" w:type="dxa"/>
          <w:right w:w="28" w:type="dxa"/>
        </w:tblCellMar>
      </w:tblPr>
      <w:tblGrid>
        <w:gridCol w:w="493"/>
        <w:gridCol w:w="435"/>
        <w:gridCol w:w="437"/>
        <w:gridCol w:w="251"/>
        <w:gridCol w:w="251"/>
        <w:gridCol w:w="251"/>
        <w:gridCol w:w="728"/>
        <w:gridCol w:w="728"/>
        <w:gridCol w:w="1048"/>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INNOVATE Corp.</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Michael J. Sena</w:t>
            </w:r>
          </w:p>
        </w:tc>
      </w:tr>
      <w:tr>
        <w:trPr/>
        <w:tc>
          <w:tcPr>
            <w:tcW w:w="1365" w:type="dxa"/>
            <w:gridSpan w:val="3"/>
            <w:tcBorders>
              <w:top w:val="single" w:sz="1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1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Michael J. Sena</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bl>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drawing>
          <wp:inline distT="0" distB="0" distL="0" distR="0">
            <wp:extent cx="1276350" cy="3333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276350" cy="333375"/>
                    </a:xfrm>
                    <a:prstGeom prst="rect">
                      <a:avLst/>
                    </a:prstGeom>
                  </pic:spPr>
                </pic:pic>
              </a:graphicData>
            </a:graphic>
          </wp:inline>
        </w:drawing>
      </w:r>
    </w:p>
    <w:p>
      <w:pPr>
        <w:pStyle w:val="TextBody"/>
        <w:bidi w:val="0"/>
        <w:spacing w:before="0" w:after="0"/>
        <w:jc w:val="left"/>
        <w:rPr/>
      </w:pPr>
      <w:r>
        <w:rPr/>
      </w:r>
    </w:p>
    <w:p>
      <w:pPr>
        <w:pStyle w:val="TextBody"/>
        <w:bidi w:val="0"/>
        <w:spacing w:lineRule="auto" w:line="417" w:before="0" w:after="0"/>
        <w:jc w:val="left"/>
        <w:rPr/>
      </w:pPr>
      <w:r>
        <w:rPr>
          <w:rFonts w:ascii="Times New Roman;serif" w:hAnsi="Times New Roman;serif"/>
          <w:b/>
          <w:color w:val="000000"/>
          <w:sz w:val="20"/>
        </w:rPr>
        <w:t>FOR IMMEDIATE RELEASE</w:t>
      </w:r>
      <w:r>
        <w:rPr>
          <w:color w:val="000000"/>
        </w:rPr>
        <w:t>                            </w:t>
      </w:r>
    </w:p>
    <w:p>
      <w:pPr>
        <w:pStyle w:val="TextBody"/>
        <w:bidi w:val="0"/>
        <w:spacing w:lineRule="auto" w:line="417"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INNOVATE Corp. Announces Second Quarter 2026 Results</w:t>
      </w:r>
    </w:p>
    <w:p>
      <w:pPr>
        <w:pStyle w:val="TextBody"/>
        <w:bidi w:val="0"/>
        <w:spacing w:lineRule="auto" w:line="417" w:before="0" w:after="0"/>
        <w:jc w:val="center"/>
        <w:rPr/>
      </w:pPr>
      <w:r>
        <w:rPr>
          <w:rFonts w:ascii="Times New Roman;serif" w:hAnsi="Times New Roman;serif"/>
          <w:b w:val="false"/>
          <w:i/>
          <w:color w:val="000000"/>
          <w:sz w:val="20"/>
        </w:rPr>
        <w:t>- Infrastructure: DBM Global delivered record results in the second quarter with year-over-year revenue growth of</w:t>
      </w:r>
      <w:r>
        <w:rPr>
          <w:color w:val="000000"/>
          <w:shd w:fill="FFFFFF" w:val="clear"/>
        </w:rPr>
        <w:t xml:space="preserve"> </w:t>
      </w:r>
      <w:r>
        <w:rPr>
          <w:rFonts w:ascii="Times New Roman;serif" w:hAnsi="Times New Roman;serif"/>
          <w:b w:val="false"/>
          <w:color w:val="000000"/>
          <w:sz w:val="20"/>
          <w:shd w:fill="FFFFFF" w:val="clear"/>
        </w:rPr>
        <w:t>~</w:t>
      </w:r>
      <w:r>
        <w:rPr>
          <w:rFonts w:ascii="Times New Roman;serif" w:hAnsi="Times New Roman;serif"/>
          <w:b w:val="false"/>
          <w:i/>
          <w:color w:val="000000"/>
          <w:sz w:val="20"/>
          <w:shd w:fill="FFFFFF" w:val="clear"/>
        </w:rPr>
        <w:t>78%</w:t>
      </w:r>
    </w:p>
    <w:p>
      <w:pPr>
        <w:pStyle w:val="TextBody"/>
        <w:bidi w:val="0"/>
        <w:spacing w:lineRule="auto" w:line="417" w:before="0" w:after="0"/>
        <w:jc w:val="center"/>
        <w:rPr>
          <w:rFonts w:ascii="Times New Roman;serif" w:hAnsi="Times New Roman;serif"/>
          <w:b w:val="false"/>
          <w:i/>
          <w:color w:val="000000"/>
          <w:sz w:val="20"/>
        </w:rPr>
      </w:pPr>
      <w:r>
        <w:rPr>
          <w:rFonts w:ascii="Times New Roman;serif" w:hAnsi="Times New Roman;serif"/>
          <w:b w:val="false"/>
          <w:i/>
          <w:color w:val="000000"/>
          <w:sz w:val="20"/>
        </w:rPr>
        <w:t>- Life Sciences: MediBeacon continued targeted introduction of TGFR system at centers of excellence in the U.S. and China</w:t>
      </w:r>
    </w:p>
    <w:p>
      <w:pPr>
        <w:pStyle w:val="TextBody"/>
        <w:bidi w:val="0"/>
        <w:spacing w:lineRule="auto" w:line="417" w:before="0" w:after="0"/>
        <w:jc w:val="center"/>
        <w:rPr>
          <w:rFonts w:ascii="Times New Roman;serif" w:hAnsi="Times New Roman;serif"/>
          <w:b w:val="false"/>
          <w:i/>
          <w:color w:val="000000"/>
          <w:sz w:val="20"/>
        </w:rPr>
      </w:pPr>
      <w:r>
        <w:rPr>
          <w:rFonts w:ascii="Times New Roman;serif" w:hAnsi="Times New Roman;serif"/>
          <w:b w:val="false"/>
          <w:i/>
          <w:color w:val="000000"/>
          <w:sz w:val="20"/>
        </w:rPr>
        <w:t>- Spectrum: Successful closing of Broadcasting refinancing and INNOVATE agreed to partial sale of Broadcasting</w:t>
      </w:r>
    </w:p>
    <w:p>
      <w:pPr>
        <w:pStyle w:val="TextBody"/>
        <w:bidi w:val="0"/>
        <w:spacing w:lineRule="auto" w:line="417" w:before="120" w:after="300"/>
        <w:jc w:val="both"/>
        <w:rPr/>
      </w:pPr>
      <w:r>
        <w:rPr>
          <w:rFonts w:ascii="Times New Roman;serif" w:hAnsi="Times New Roman;serif"/>
          <w:b/>
          <w:color w:val="000000"/>
          <w:sz w:val="20"/>
        </w:rPr>
        <w:t xml:space="preserve">NEW YORK, NY, August 6, 2026 - </w:t>
      </w:r>
      <w:r>
        <w:rPr>
          <w:rFonts w:ascii="Times New Roman;serif" w:hAnsi="Times New Roman;serif"/>
          <w:b w:val="false"/>
          <w:color w:val="000000"/>
          <w:sz w:val="20"/>
        </w:rPr>
        <w:t>INNOVATE CORP.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(“INNOVATE” or the “Company”) (NYSE: VATE) announced today its consolidated results for the second quarter.</w:t>
      </w: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Financial Summary</w:t>
      </w:r>
    </w:p>
    <w:tbl>
      <w:tblPr>
        <w:tblW w:w="10205" w:type="dxa"/>
        <w:jc w:val="left"/>
        <w:tblInd w:w="0" w:type="dxa"/>
        <w:tblLayout w:type="fixed"/>
        <w:tblCellMar>
          <w:top w:w="28" w:type="dxa"/>
          <w:left w:w="28" w:type="dxa"/>
          <w:bottom w:w="28" w:type="dxa"/>
          <w:right w:w="28" w:type="dxa"/>
        </w:tblCellMar>
      </w:tblPr>
      <w:tblGrid>
        <w:gridCol w:w="1075"/>
        <w:gridCol w:w="764"/>
        <w:gridCol w:w="770"/>
        <w:gridCol w:w="196"/>
        <w:gridCol w:w="556"/>
        <w:gridCol w:w="109"/>
        <w:gridCol w:w="109"/>
        <w:gridCol w:w="109"/>
        <w:gridCol w:w="109"/>
        <w:gridCol w:w="196"/>
        <w:gridCol w:w="556"/>
        <w:gridCol w:w="109"/>
        <w:gridCol w:w="109"/>
        <w:gridCol w:w="109"/>
        <w:gridCol w:w="109"/>
        <w:gridCol w:w="354"/>
        <w:gridCol w:w="260"/>
        <w:gridCol w:w="613"/>
        <w:gridCol w:w="109"/>
        <w:gridCol w:w="109"/>
        <w:gridCol w:w="109"/>
        <w:gridCol w:w="196"/>
        <w:gridCol w:w="556"/>
        <w:gridCol w:w="109"/>
        <w:gridCol w:w="109"/>
        <w:gridCol w:w="109"/>
        <w:gridCol w:w="109"/>
        <w:gridCol w:w="196"/>
        <w:gridCol w:w="556"/>
        <w:gridCol w:w="109"/>
        <w:gridCol w:w="109"/>
        <w:gridCol w:w="109"/>
        <w:gridCol w:w="109"/>
        <w:gridCol w:w="354"/>
        <w:gridCol w:w="246"/>
        <w:gridCol w:w="690"/>
      </w:tblGrid>
      <w:tr>
        <w:trPr/>
        <w:tc>
          <w:tcPr>
            <w:tcW w:w="1075"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 except per share amounts)</w:t>
            </w:r>
          </w:p>
        </w:tc>
        <w:tc>
          <w:tcPr>
            <w:tcW w:w="3603"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6"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 /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 / (Decrease)</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74.2 </w:t>
            </w:r>
          </w:p>
        </w:tc>
        <w:tc>
          <w:tcPr>
            <w:tcW w:w="6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52.3 </w:t>
            </w:r>
          </w:p>
        </w:tc>
        <w:tc>
          <w:tcPr>
            <w:tcW w:w="6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common stockholders and participating preferred stockholders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147.3 </w:t>
            </w:r>
          </w:p>
        </w:tc>
        <w:tc>
          <w:tcPr>
            <w:tcW w:w="6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85.5 </w:t>
            </w:r>
          </w:p>
        </w:tc>
        <w:tc>
          <w:tcPr>
            <w:tcW w:w="69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earnings (loss) per share attributable to common stockholders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144.3 </w:t>
            </w:r>
          </w:p>
        </w:tc>
        <w:tc>
          <w:tcPr>
            <w:tcW w:w="6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85.7 </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(loss) per share attributable to common stockholders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142.5 </w:t>
            </w:r>
          </w:p>
        </w:tc>
        <w:tc>
          <w:tcPr>
            <w:tcW w:w="6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85.7 </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Total Adjusted EBITDA</w:t>
            </w:r>
            <w:r>
              <w:rPr>
                <w:rFonts w:ascii="Times New Roman;serif" w:hAnsi="Times New Roman;serif"/>
                <w:b w:val="false"/>
                <w:color w:val="000000"/>
                <w:sz w:val="12"/>
              </w:rPr>
              <w:t>(1)</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194.9 </w:t>
            </w:r>
          </w:p>
        </w:tc>
        <w:tc>
          <w:tcPr>
            <w:tcW w:w="6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188.2 </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417" w:before="0" w:after="0"/>
        <w:jc w:val="both"/>
        <w:rPr>
          <w:rFonts w:ascii="Times New Roman;serif" w:hAnsi="Times New Roman;serif"/>
          <w:b w:val="false"/>
          <w:color w:val="000000"/>
          <w:sz w:val="14"/>
        </w:rPr>
      </w:pPr>
      <w:r>
        <w:rPr>
          <w:rFonts w:ascii="Times New Roman;serif" w:hAnsi="Times New Roman;serif"/>
          <w:b w:val="false"/>
          <w:color w:val="000000"/>
          <w:sz w:val="14"/>
        </w:rPr>
        <w:t>(1) Reconciliation of GAAP to Non-GAAP measures follows.</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Commentary</w:t>
      </w:r>
    </w:p>
    <w:p>
      <w:pPr>
        <w:pStyle w:val="TextBody"/>
        <w:bidi w:val="0"/>
        <w:spacing w:before="0" w:after="0"/>
        <w:jc w:val="left"/>
        <w:rPr/>
      </w:pPr>
      <w:r>
        <w:rPr/>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"INNOVATE delivered a strong second quarter and continued to execute on several important strategic priorities across the portfolio," said Avie Glazer, Chairman of INNOVATE. “At Infrastructure, DBM Global delivered a record-breaking quarter, reflecting continued strong financial performance with margin expansion and backlog growth. During the quarter, Broadcasting strengthened its financial position through a refinancing transaction, and our Life Sciences businesses continued to advance key commercialization and regulatory initiatives."</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"We continue to make progress across our key strategic priorities and believe the momentum we saw during the second quarter reinforces the value and potential of our portfolio," said Paul Voigt, Interim CEO of INNOVATE. “DBM Global delivered exceptional results, supported by strong execution, robust backlog growth, and favorable end-market demand. At MediBeacon, we continue to focus on commercialization efforts, reimbursement initiatives, and global regulatory activities, while R2 exited the quarter with strong demand and an expanding international presence. We remain focused on strengthening our balance sheet, advancing growth initiatives and creating long-term value for our shareholders."</w:t>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549" w:before="0" w:after="0"/>
        <w:jc w:val="both"/>
        <w:rPr>
          <w:rFonts w:ascii="Times New Roman;serif" w:hAnsi="Times New Roman;serif"/>
          <w:b/>
          <w:color w:val="000000"/>
          <w:sz w:val="20"/>
        </w:rPr>
      </w:pPr>
      <w:r>
        <w:rPr>
          <w:rFonts w:ascii="Times New Roman;serif" w:hAnsi="Times New Roman;serif"/>
          <w:b/>
          <w:color w:val="000000"/>
          <w:sz w:val="20"/>
        </w:rPr>
        <w:t>Second Quarter 2026 and Recent Highlights</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0"/>
        </w:rPr>
        <w:t xml:space="preserve">As previously announced, HC2 Broadcasting Holdings Inc. (“Broadcasting”) closed on a refinancing transaction and Broadcasting and HC2 Broadcasting Holdco, LLC (“HC2 Holdco”), subsidiaries of INNOVATE, have entered into a definitive agreement pursuant to which INNOVATE will sell a controlling interest in Broadcasting to CONX CORP. (“CONX”), subject to the satisfaction of customary closing conditions, including the receipt of required regulatory approvals. After the closing of the transaction, it is expected that CONX will own approximately 75% of Broadcasting and INNOVATE will own approximately 25% of Broadcasting through HC2 Holdco. See INNOVATE's Form 8-K filed on June 1, 2026 for additional information. </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0"/>
        </w:rPr>
        <w:t>INNOVATE continues to pursue highly substantial asset dispositions, including a sales process for all or substantially all of DBMG's assets or equity interests, and the disposition of a majority interest in Broadcasting (as described above). INNOVATE has also made substantial changes to its debt arrangements and other liabilities, including following June 30, 2026, and expects to make further changes.</w:t>
      </w:r>
    </w:p>
    <w:p>
      <w:pPr>
        <w:pStyle w:val="TextBody"/>
        <w:bidi w:val="0"/>
        <w:spacing w:lineRule="auto" w:line="417" w:before="0" w:after="0"/>
        <w:jc w:val="both"/>
        <w:rPr>
          <w:rFonts w:ascii="Times New Roman;serif" w:hAnsi="Times New Roman;serif"/>
          <w:b/>
          <w:color w:val="000000"/>
          <w:sz w:val="20"/>
          <w:u w:val="single"/>
        </w:rPr>
      </w:pPr>
      <w:r>
        <w:rPr>
          <w:rFonts w:ascii="Times New Roman;serif" w:hAnsi="Times New Roman;serif"/>
          <w:b/>
          <w:color w:val="000000"/>
          <w:sz w:val="20"/>
          <w:u w:val="single"/>
        </w:rPr>
        <w:t>Infrastructure</w:t>
      </w:r>
    </w:p>
    <w:p>
      <w:pPr>
        <w:pStyle w:val="TextBody"/>
        <w:bidi w:val="0"/>
        <w:spacing w:lineRule="auto" w:line="417"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DBMG reported second quarter 2026 revenue of $414.0 million, an increase of 77.6%, compared to $233.1 million in the pr</w:t>
      </w:r>
      <w:r>
        <w:rPr>
          <w:rFonts w:ascii="Times New Roman;serif" w:hAnsi="Times New Roman;serif"/>
          <w:b w:val="false"/>
          <w:color w:val="000000"/>
          <w:sz w:val="20"/>
        </w:rPr>
        <w:t xml:space="preserve">ior year quarter. Net income attributable to INNOVATE was $26.4 million, compared to $5.5 million for the prior year quarter. Adjusted EBITDA increased to $48.7 million from $19.3 million in the prior year quarter. </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0"/>
        </w:rPr>
        <w:t xml:space="preserve">DBMG reported gross margin of 18.5% in the second quarter, an increase of approximately 60 basis points year-over-year and Adjusted EBITDA margin of 11.8% in the second quarter, an increase of approximately 350 basis points year-over-year. </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0"/>
        </w:rPr>
        <w:t>DBMG’s reported backlog and adjusted backlog, which takes into consideration awarded but not yet signed contracts, was $1.9 billion and $2.7 billion respectively, as of June 30, 2026, compared to reported and adjusted backlog of $1.7 billion and $1.8 billion, respectively, as of December 31, 2025.</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0"/>
        </w:rPr>
        <w:t>DBMG delivered a record second quarter, highlighted by strong margin expansion, exceptional execution, and adjusted backlog growth to a record $2.7 billion. Healthy sales activity and strong conversion rates continue to drive backlog growth and visibility into 2027 and 2028, while sustained demand across technology, healthcare, AI infrastructure, and advanced manufacturing markets supports confidence in the business's long-term growth outlook.</w:t>
      </w:r>
    </w:p>
    <w:p>
      <w:pPr>
        <w:pStyle w:val="TextBody"/>
        <w:bidi w:val="0"/>
        <w:spacing w:lineRule="auto" w:line="417" w:before="0" w:after="0"/>
        <w:jc w:val="left"/>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Life Sciences</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0"/>
        </w:rPr>
        <w:t>MediBeacon continued to build commercial momentum in the United States, putting the technology in the hands of the clinicians who need it most and building the evidence base that will drive long-term adoption. MediBeacon is now actively engaged with over 100 healthcare institutions who have expressed interest in the TGFR System.</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0"/>
        </w:rPr>
        <w:t>MediBeacon is poised to begin clinical studies of the third generation wireless TGFR Sensor under IDE approval. MediBeacon targets a pivotal study in 2027. The wireless wearable third generation product is anticipated to further expand the market for kidney function assessment in the outpatient setting.</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0"/>
        </w:rPr>
        <w:t>R2 Technologies, Inc. ("R2") reported second quarter 2026 revenue of $2.2 million.</w:t>
      </w:r>
    </w:p>
    <w:p>
      <w:pPr>
        <w:pStyle w:val="TextBody"/>
        <w:bidi w:val="0"/>
        <w:spacing w:lineRule="auto" w:line="417" w:before="0" w:after="0"/>
        <w:ind w:left="0" w:right="0" w:hanging="360"/>
        <w:jc w:val="left"/>
        <w:rPr/>
      </w:pPr>
      <w:r>
        <w:rPr>
          <w:color w:val="000000"/>
        </w:rPr>
        <w:t>•</w:t>
      </w:r>
      <w:r>
        <w:rPr>
          <w:rFonts w:ascii="Times New Roman;serif" w:hAnsi="Times New Roman;serif"/>
          <w:b w:val="false"/>
          <w:color w:val="000000"/>
          <w:sz w:val="20"/>
        </w:rPr>
        <w:t xml:space="preserve">R2's demand for the second quarter reached $3.6 million, with backlog at approximately 110 systems globally at the end of the quarter. </w:t>
      </w:r>
    </w:p>
    <w:p>
      <w:pPr>
        <w:pStyle w:val="TextBody"/>
        <w:bidi w:val="0"/>
        <w:spacing w:lineRule="auto" w:line="417" w:before="0" w:after="0"/>
        <w:ind w:left="0" w:right="0" w:hanging="360"/>
        <w:jc w:val="left"/>
        <w:rPr/>
      </w:pPr>
      <w:r>
        <w:rPr>
          <w:color w:val="000000"/>
        </w:rPr>
        <w:t>•</w:t>
      </w:r>
      <w:r>
        <w:rPr>
          <w:rFonts w:ascii="Times New Roman;serif" w:hAnsi="Times New Roman;serif"/>
          <w:b w:val="false"/>
          <w:color w:val="000000"/>
          <w:sz w:val="20"/>
        </w:rPr>
        <w:t>R2 reduced its operating expenditure by approximately 50% over the same period in 2025.</w:t>
      </w:r>
    </w:p>
    <w:p>
      <w:pPr>
        <w:pStyle w:val="TextBody"/>
        <w:bidi w:val="0"/>
        <w:spacing w:lineRule="auto" w:line="417"/>
        <w:ind w:left="0" w:right="0" w:hanging="360"/>
        <w:jc w:val="left"/>
        <w:rPr/>
      </w:pPr>
      <w:r>
        <w:rPr>
          <w:color w:val="000000"/>
        </w:rPr>
        <w:t>•</w:t>
      </w:r>
      <w:r>
        <w:rPr>
          <w:rFonts w:ascii="Times New Roman;serif" w:hAnsi="Times New Roman;serif"/>
          <w:b w:val="false"/>
          <w:color w:val="000000"/>
          <w:sz w:val="20"/>
        </w:rPr>
        <w:t>Subsequent to quarter end, R2 extended the maturity of its secured promissory note with Lancer Capital from August 1, 2026 to December 31, 2026, and R2’s preferred equity was converted to common equity, simplifying its capital structure.</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417" w:before="0" w:after="0"/>
        <w:jc w:val="left"/>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Spectrum</w:t>
      </w:r>
    </w:p>
    <w:p>
      <w:pPr>
        <w:pStyle w:val="TextBody"/>
        <w:bidi w:val="0"/>
        <w:spacing w:lineRule="auto" w:line="417" w:before="0" w:after="0"/>
        <w:ind w:left="0" w:right="0" w:hanging="360"/>
        <w:jc w:val="both"/>
        <w:rPr/>
      </w:pPr>
      <w:r>
        <w:rPr>
          <w:color w:val="000000"/>
          <w:shd w:fill="FFFFFF" w:val="clear"/>
        </w:rPr>
        <w:t>•</w:t>
      </w:r>
      <w:r>
        <w:rPr>
          <w:rFonts w:ascii="Times New Roman;serif" w:hAnsi="Times New Roman;serif"/>
          <w:b w:val="false"/>
          <w:color w:val="000000"/>
          <w:sz w:val="20"/>
        </w:rPr>
        <w:t xml:space="preserve">Broadcasting reported second quarter 2026 revenue of </w:t>
      </w:r>
      <w:r>
        <w:rPr>
          <w:rFonts w:ascii="Times New Roman;serif" w:hAnsi="Times New Roman;serif"/>
          <w:b w:val="false"/>
          <w:color w:val="000000"/>
          <w:sz w:val="20"/>
          <w:shd w:fill="FFFFFF" w:val="clear"/>
        </w:rPr>
        <w:t>$5.4 million</w:t>
      </w:r>
      <w:r>
        <w:rPr>
          <w:rFonts w:ascii="Times New Roman;serif" w:hAnsi="Times New Roman;serif"/>
          <w:b w:val="false"/>
          <w:color w:val="000000"/>
          <w:sz w:val="20"/>
        </w:rPr>
        <w:t xml:space="preserve">, compared to </w:t>
      </w:r>
      <w:r>
        <w:rPr>
          <w:rFonts w:ascii="Times New Roman;serif" w:hAnsi="Times New Roman;serif"/>
          <w:b w:val="false"/>
          <w:color w:val="000000"/>
          <w:sz w:val="20"/>
          <w:shd w:fill="FFFFFF" w:val="clear"/>
        </w:rPr>
        <w:t>$5.7 million</w:t>
      </w:r>
      <w:r>
        <w:rPr>
          <w:color w:val="000000"/>
        </w:rPr>
        <w:t xml:space="preserve"> </w:t>
      </w:r>
      <w:r>
        <w:rPr>
          <w:rFonts w:ascii="Times New Roman;serif" w:hAnsi="Times New Roman;serif"/>
          <w:b w:val="false"/>
          <w:color w:val="000000"/>
          <w:sz w:val="20"/>
        </w:rPr>
        <w:t>in the prior year quarter. Net income attributable to INNOVATE was</w:t>
      </w:r>
      <w:r>
        <w:rPr>
          <w:color w:val="000000"/>
          <w:shd w:fill="FFFFFF" w:val="clear"/>
        </w:rPr>
        <w:t xml:space="preserve"> </w:t>
      </w:r>
      <w:r>
        <w:rPr>
          <w:rFonts w:ascii="Times New Roman;serif" w:hAnsi="Times New Roman;serif"/>
          <w:b w:val="false"/>
          <w:color w:val="000000"/>
          <w:sz w:val="20"/>
          <w:shd w:fill="FFFFFF" w:val="clear"/>
        </w:rPr>
        <w:t>$8.4 million</w:t>
      </w:r>
      <w:r>
        <w:rPr>
          <w:color w:val="000000"/>
        </w:rPr>
        <w:t xml:space="preserve"> </w:t>
      </w:r>
      <w:r>
        <w:rPr>
          <w:rFonts w:ascii="Times New Roman;serif" w:hAnsi="Times New Roman;serif"/>
          <w:b w:val="false"/>
          <w:color w:val="000000"/>
          <w:sz w:val="20"/>
        </w:rPr>
        <w:t xml:space="preserve">compared to Net loss of </w:t>
      </w:r>
      <w:r>
        <w:rPr>
          <w:rFonts w:ascii="Times New Roman;serif" w:hAnsi="Times New Roman;serif"/>
          <w:b w:val="false"/>
          <w:color w:val="000000"/>
          <w:sz w:val="20"/>
          <w:shd w:fill="FFFFFF" w:val="clear"/>
        </w:rPr>
        <w:t>$6.1 million</w:t>
      </w:r>
      <w:r>
        <w:rPr>
          <w:color w:val="000000"/>
        </w:rPr>
        <w:t xml:space="preserve"> </w:t>
      </w:r>
      <w:r>
        <w:rPr>
          <w:rFonts w:ascii="Times New Roman;serif" w:hAnsi="Times New Roman;serif"/>
          <w:b w:val="false"/>
          <w:color w:val="000000"/>
          <w:sz w:val="20"/>
        </w:rPr>
        <w:t xml:space="preserve">in the prior year quarter. Adjusted EBITDA was </w:t>
      </w:r>
      <w:r>
        <w:rPr>
          <w:rFonts w:ascii="Times New Roman;serif" w:hAnsi="Times New Roman;serif"/>
          <w:b w:val="false"/>
          <w:color w:val="000000"/>
          <w:sz w:val="20"/>
          <w:shd w:fill="FFFFFF" w:val="clear"/>
        </w:rPr>
        <w:t>$0.4 million</w:t>
      </w:r>
      <w:r>
        <w:rPr>
          <w:rFonts w:ascii="Times New Roman;serif" w:hAnsi="Times New Roman;serif"/>
          <w:b w:val="false"/>
          <w:color w:val="000000"/>
          <w:sz w:val="20"/>
        </w:rPr>
        <w:t xml:space="preserve">, compared to </w:t>
      </w:r>
      <w:r>
        <w:rPr>
          <w:rFonts w:ascii="Times New Roman;serif" w:hAnsi="Times New Roman;serif"/>
          <w:b w:val="false"/>
          <w:color w:val="000000"/>
          <w:sz w:val="20"/>
          <w:shd w:fill="FFFFFF" w:val="clear"/>
        </w:rPr>
        <w:t>$1.0 million</w:t>
      </w:r>
      <w:r>
        <w:rPr>
          <w:color w:val="000000"/>
        </w:rPr>
        <w:t xml:space="preserve"> </w:t>
      </w:r>
      <w:r>
        <w:rPr>
          <w:rFonts w:ascii="Times New Roman;serif" w:hAnsi="Times New Roman;serif"/>
          <w:b w:val="false"/>
          <w:color w:val="000000"/>
          <w:sz w:val="20"/>
        </w:rPr>
        <w:t>in the prior year quarter.</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0"/>
        </w:rPr>
        <w:t>Broadcasting entered into a $105 million loan agreement (the “New Loan”) with HC2 Merger Sub, LLC, a subsidiary of CONX (“Merger Sub”). The proceeds of the New Loan were used to fully satisfy Broadcasting’s existing 8.50% and 11.45% notes, to fund the repurchase of certain equity interests held by Broadcasting’s note holders, and to pay related transaction costs. The New Loan and interest accrued thereon are expected to be extinguished as consideration in the merger and will not require cash repayment upon closing of the merger. The New Loan matures on May 29, 2027, subject to earlier acceleration in accordance with its terms.</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0"/>
        </w:rPr>
        <w:t>INNOVATE has entered into a merger agreement pursuant to which Merger Sub will merge with and into Broadcasting, with Broadcasting as the surviving corporation. As a result of the merger, after the closing it is expected that CONX will own approximately 75% of Broadcasting and INNOVATE will own approximately 25% of Broadcasting through HC2 Holdco.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240" w:after="240"/>
        <w:jc w:val="left"/>
        <w:rPr>
          <w:rFonts w:ascii="Times New Roman;serif" w:hAnsi="Times New Roman;serif"/>
          <w:b/>
          <w:color w:val="000000"/>
          <w:sz w:val="20"/>
        </w:rPr>
      </w:pPr>
      <w:r>
        <w:rPr>
          <w:rFonts w:ascii="Times New Roman;serif" w:hAnsi="Times New Roman;serif"/>
          <w:b/>
          <w:color w:val="000000"/>
          <w:sz w:val="20"/>
        </w:rPr>
        <w:t>Second Quarter 2026 Financial Highlights</w:t>
      </w:r>
    </w:p>
    <w:p>
      <w:pPr>
        <w:pStyle w:val="TextBody"/>
        <w:bidi w:val="0"/>
        <w:spacing w:lineRule="auto" w:line="417" w:before="0" w:after="120"/>
        <w:ind w:left="0" w:right="0" w:hanging="360"/>
        <w:jc w:val="both"/>
        <w:rPr/>
      </w:pPr>
      <w:r>
        <w:rPr>
          <w:color w:val="000000"/>
        </w:rPr>
        <w:t>•</w:t>
      </w:r>
      <w:r>
        <w:rPr>
          <w:rFonts w:ascii="Times New Roman;serif" w:hAnsi="Times New Roman;serif"/>
          <w:b/>
          <w:color w:val="000000"/>
          <w:sz w:val="20"/>
        </w:rPr>
        <w:t>Revenue:</w:t>
      </w:r>
      <w:r>
        <w:rPr>
          <w:color w:val="000000"/>
        </w:rPr>
        <w:t xml:space="preserve"> </w:t>
      </w:r>
      <w:r>
        <w:rPr>
          <w:rFonts w:ascii="Times New Roman;serif" w:hAnsi="Times New Roman;serif"/>
          <w:b w:val="false"/>
          <w:color w:val="000000"/>
          <w:sz w:val="20"/>
        </w:rPr>
        <w:t xml:space="preserve">For the second quarter of 2026, INNOVATE's consolidated revenue was $421.6 million, an increase of 74.2%, compared to $242.0 million for the prior year quarter. The increase was driven primarily by our Infrastructure segment, which was partially offset by a decrease at our Life Sciences and Spectrum segments. </w:t>
      </w:r>
      <w:r>
        <w:rPr>
          <w:rFonts w:ascii="Times New Roman;serif" w:hAnsi="Times New Roman;serif"/>
          <w:b w:val="false"/>
          <w:color w:val="000000"/>
          <w:sz w:val="20"/>
          <w:shd w:fill="FFFFFF" w:val="clear"/>
        </w:rPr>
        <w:t>The increase at our Infrastructure segment was primarily driven by the timing and size of projects at DBMG's commercial structural steel fabrication and erection business, which had increased activity subsequent to the comparable period on certain large construction projects, combined with changes in the estimate of the cost to complete those projects recognized in the ordinary course driven by efficiencies recognized around certain projects. This increase was partially offset by a decrease at the industrial maintenance and repair business due to the timing and size of projects, which had increased activity in the comparable period on certain large construction projects that have since been completed.</w:t>
      </w:r>
      <w:r>
        <w:rPr>
          <w:color w:val="000000"/>
        </w:rPr>
        <w:t xml:space="preserve"> </w:t>
      </w:r>
      <w:r>
        <w:rPr>
          <w:rFonts w:ascii="Times New Roman;serif" w:hAnsi="Times New Roman;serif"/>
          <w:b w:val="false"/>
          <w:color w:val="000000"/>
          <w:sz w:val="20"/>
        </w:rPr>
        <w:t>The decrease at our Life Sciences segment was attributable to R2, primarily driven by decreases in Glacial fx unit sales in North America and Glacial Spa unit sales outside North America due to liquidity constraints. The decrease at our Spectrum segment was primarily driven by the termination of a few networks and individual markets subsequent to the comparable period, partially offset by the launch of new networks.</w:t>
      </w:r>
    </w:p>
    <w:tbl>
      <w:tblPr>
        <w:tblW w:w="10205" w:type="dxa"/>
        <w:jc w:val="left"/>
        <w:tblInd w:w="0" w:type="dxa"/>
        <w:tblLayout w:type="fixed"/>
        <w:tblCellMar>
          <w:top w:w="28" w:type="dxa"/>
          <w:left w:w="28" w:type="dxa"/>
          <w:bottom w:w="28" w:type="dxa"/>
          <w:right w:w="28" w:type="dxa"/>
        </w:tblCellMar>
      </w:tblPr>
      <w:tblGrid>
        <w:gridCol w:w="648"/>
        <w:gridCol w:w="569"/>
        <w:gridCol w:w="573"/>
        <w:gridCol w:w="229"/>
        <w:gridCol w:w="650"/>
        <w:gridCol w:w="127"/>
        <w:gridCol w:w="127"/>
        <w:gridCol w:w="127"/>
        <w:gridCol w:w="127"/>
        <w:gridCol w:w="229"/>
        <w:gridCol w:w="650"/>
        <w:gridCol w:w="127"/>
        <w:gridCol w:w="127"/>
        <w:gridCol w:w="127"/>
        <w:gridCol w:w="127"/>
        <w:gridCol w:w="336"/>
        <w:gridCol w:w="959"/>
        <w:gridCol w:w="189"/>
        <w:gridCol w:w="109"/>
        <w:gridCol w:w="109"/>
        <w:gridCol w:w="109"/>
        <w:gridCol w:w="196"/>
        <w:gridCol w:w="556"/>
        <w:gridCol w:w="109"/>
        <w:gridCol w:w="109"/>
        <w:gridCol w:w="109"/>
        <w:gridCol w:w="109"/>
        <w:gridCol w:w="196"/>
        <w:gridCol w:w="556"/>
        <w:gridCol w:w="109"/>
        <w:gridCol w:w="109"/>
        <w:gridCol w:w="109"/>
        <w:gridCol w:w="109"/>
        <w:gridCol w:w="312"/>
        <w:gridCol w:w="887"/>
        <w:gridCol w:w="255"/>
      </w:tblGrid>
      <w:tr>
        <w:trPr/>
        <w:tc>
          <w:tcPr>
            <w:tcW w:w="64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4564"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REVENUE by OPERATING SEGMENT</w:t>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4258"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0"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 /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Increase/(Decrease)</w:t>
            </w:r>
          </w:p>
        </w:tc>
      </w:tr>
      <w:tr>
        <w:trPr/>
        <w:tc>
          <w:tcPr>
            <w:tcW w:w="1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Infrastructure</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414.0 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233.1 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180.9 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273.9 </w:t>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Life Sciences</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Spectrum</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Consolidated INNOVATE</w:t>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421.6 </w:t>
            </w:r>
          </w:p>
        </w:tc>
        <w:tc>
          <w:tcPr>
            <w:tcW w:w="1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242.0 </w:t>
            </w:r>
          </w:p>
        </w:tc>
        <w:tc>
          <w:tcPr>
            <w:tcW w:w="1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179.6 </w:t>
            </w:r>
          </w:p>
        </w:tc>
        <w:tc>
          <w:tcPr>
            <w:tcW w:w="1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270.2 </w:t>
            </w:r>
          </w:p>
        </w:tc>
        <w:tc>
          <w:tcPr>
            <w:tcW w:w="2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center"/>
        <w:rPr/>
      </w:pPr>
      <w:r>
        <w:rPr/>
      </w:r>
    </w:p>
    <w:p>
      <w:pPr>
        <w:pStyle w:val="TextBody"/>
        <w:bidi w:val="0"/>
        <w:spacing w:before="0" w:after="0"/>
        <w:jc w:val="both"/>
        <w:rPr/>
      </w:pPr>
      <w:r>
        <w:rPr/>
      </w:r>
    </w:p>
    <w:p>
      <w:pPr>
        <w:pStyle w:val="TextBody"/>
        <w:bidi w:val="0"/>
        <w:spacing w:lineRule="auto" w:line="417"/>
        <w:ind w:left="0" w:right="0" w:hanging="360"/>
        <w:jc w:val="both"/>
        <w:rPr/>
      </w:pPr>
      <w:r>
        <w:rPr>
          <w:color w:val="000000"/>
        </w:rPr>
        <w:t>•</w:t>
      </w:r>
      <w:r>
        <w:rPr>
          <w:rFonts w:ascii="Times New Roman;serif" w:hAnsi="Times New Roman;serif"/>
          <w:b/>
          <w:color w:val="000000"/>
          <w:sz w:val="20"/>
        </w:rPr>
        <w:t>Net Income (Loss):</w:t>
      </w:r>
      <w:r>
        <w:rPr>
          <w:color w:val="000000"/>
        </w:rPr>
        <w:t xml:space="preserve"> </w:t>
      </w:r>
      <w:r>
        <w:rPr>
          <w:rFonts w:ascii="Times New Roman;serif" w:hAnsi="Times New Roman;serif"/>
          <w:b w:val="false"/>
          <w:color w:val="000000"/>
          <w:sz w:val="20"/>
          <w:shd w:fill="FFFFFF" w:val="clear"/>
        </w:rPr>
        <w:t>For the second quarter of 2026, INNOVATE reported Net income attributable to common stockholders and participating preferred stockholders of $10.4 million, or $0.71 per fully diluted share, compared to a Net loss of $22.0 million, or $1.67 per fully diluted share, for the prior year quarte</w:t>
      </w:r>
      <w:r>
        <w:rPr>
          <w:rFonts w:ascii="Times New Roman;serif" w:hAnsi="Times New Roman;serif"/>
          <w:b w:val="false"/>
          <w:color w:val="000000"/>
          <w:sz w:val="20"/>
        </w:rPr>
        <w:t>r. The increase in Net income was primarily driven by a</w:t>
      </w:r>
      <w:r>
        <w:rPr>
          <w:color w:val="000000"/>
          <w:shd w:fill="FFFFFF" w:val="clear"/>
        </w:rPr>
        <w:t xml:space="preserve"> </w:t>
      </w:r>
      <w:r>
        <w:rPr>
          <w:rFonts w:ascii="Times New Roman;serif" w:hAnsi="Times New Roman;serif"/>
          <w:b w:val="false"/>
          <w:color w:val="000000"/>
          <w:sz w:val="20"/>
          <w:shd w:fill="FFFFFF" w:val="clear"/>
        </w:rPr>
        <w:t xml:space="preserve">net increase in gross profit of $33.9 million, and an $18.7 million increase in gain on extinguishment of debt, which was partially offset by </w:t>
      </w:r>
      <w:r>
        <w:rPr>
          <w:rFonts w:ascii="Times New Roman;serif" w:hAnsi="Times New Roman;serif"/>
          <w:b w:val="false"/>
          <w:color w:val="000000"/>
          <w:sz w:val="20"/>
        </w:rPr>
        <w:t xml:space="preserve">an $8.9 million increase in tax expense, a </w:t>
      </w:r>
      <w:r>
        <w:rPr>
          <w:rFonts w:ascii="Times New Roman;serif" w:hAnsi="Times New Roman;serif"/>
          <w:b w:val="false"/>
          <w:color w:val="000000"/>
          <w:sz w:val="20"/>
          <w:shd w:fill="FFFFFF" w:val="clear"/>
        </w:rPr>
        <w:t xml:space="preserve">net increase in selling, general and administrative (“SG&amp;A”) </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417" w:before="0" w:after="0"/>
        <w:jc w:val="both"/>
        <w:rPr/>
      </w:pPr>
      <w:r>
        <w:rPr>
          <w:rFonts w:ascii="Times New Roman;serif" w:hAnsi="Times New Roman;serif"/>
          <w:b w:val="false"/>
          <w:color w:val="000000"/>
          <w:sz w:val="20"/>
          <w:shd w:fill="FFFFFF" w:val="clear"/>
        </w:rPr>
        <w:t xml:space="preserve">expenses of $6.4 million and a $6.2 million increase in interest expense. </w:t>
      </w:r>
      <w:r>
        <w:rPr>
          <w:rFonts w:ascii="Times New Roman;serif" w:hAnsi="Times New Roman;serif"/>
          <w:b w:val="false"/>
          <w:color w:val="000000"/>
          <w:sz w:val="20"/>
        </w:rPr>
        <w:t xml:space="preserve">The net increase in gross profit was primarily driven by our Infrastructure segment due to timing and size of projects in the current period, which had increased activity subsequent to the comparable period, </w:t>
      </w:r>
      <w:r>
        <w:rPr>
          <w:rFonts w:ascii="Times New Roman;serif" w:hAnsi="Times New Roman;serif"/>
          <w:b w:val="false"/>
          <w:color w:val="000000"/>
          <w:sz w:val="20"/>
          <w:shd w:fill="FFFFFF" w:val="clear"/>
        </w:rPr>
        <w:t>combined with changes in the estimate of the cost to complete those projects recognized in the ordinary course driven by efficiencies recognized around certain projects</w:t>
      </w:r>
      <w:r>
        <w:rPr>
          <w:rFonts w:ascii="Times New Roman;serif" w:hAnsi="Times New Roman;serif"/>
          <w:b w:val="false"/>
          <w:color w:val="000000"/>
          <w:sz w:val="20"/>
        </w:rPr>
        <w:t>. The increase in gain on extinguishment of debt was primarily driven by Spectrum's refinancing transaction during the current period. The increase in tax expense was primarily driven by higher pre-tax income combined with an increase in the annual effective tax rate, including as a result of limitations on the utilization of net operating losses (“NOL”) by INNOVATE's U.S. consolidated group under Internal Revenue Code Section 382 and the Tax Cuts and Jobs Act's 80 percent limitation on NOLs incurred after 2017. The net increase in SG&amp;A was driven by our Infrastructure segment, primarily due to timing of compensation-related expenses, and an increase at our Spectrum segment primarily driven by transaction-related expenses in the current period. These increases in SG&amp;A were partially offset by a decrease in SG&amp;A at our Life Sciences segment due to a reduction in compensation-related expenses at R2 and Pansend. T</w:t>
      </w:r>
      <w:r>
        <w:rPr>
          <w:rFonts w:ascii="Times New Roman;serif" w:hAnsi="Times New Roman;serif"/>
          <w:b w:val="false"/>
          <w:color w:val="000000"/>
          <w:sz w:val="20"/>
          <w:shd w:fill="FFFFFF" w:val="clear"/>
        </w:rPr>
        <w:t xml:space="preserve">he net increase in interest expense was primarily driven by our Non-Operating Corporate segment, reflecting refinancing transactions that closed subsequent to the comparable period, and by our Spectrum segment, reflecting the accretion of the New Loan entered into in the current period, under which the effective interest rate includes the stated interest rate and accretion of a contractually specified minimum return on the New Loan through its stated maturity, which was partially offset by our Life Sciences segment, reflecting refinancing transactions that closed subsequent to the comparable period, and further offset by our Infrastructure segment due to a net decrease in principal balance. </w:t>
      </w:r>
    </w:p>
    <w:tbl>
      <w:tblPr>
        <w:tblW w:w="10205" w:type="dxa"/>
        <w:jc w:val="left"/>
        <w:tblInd w:w="0" w:type="dxa"/>
        <w:tblLayout w:type="fixed"/>
        <w:tblCellMar>
          <w:top w:w="28" w:type="dxa"/>
          <w:left w:w="28" w:type="dxa"/>
          <w:bottom w:w="28" w:type="dxa"/>
          <w:right w:w="28" w:type="dxa"/>
        </w:tblCellMar>
      </w:tblPr>
      <w:tblGrid>
        <w:gridCol w:w="1093"/>
        <w:gridCol w:w="961"/>
        <w:gridCol w:w="969"/>
        <w:gridCol w:w="196"/>
        <w:gridCol w:w="466"/>
        <w:gridCol w:w="109"/>
        <w:gridCol w:w="109"/>
        <w:gridCol w:w="109"/>
        <w:gridCol w:w="109"/>
        <w:gridCol w:w="196"/>
        <w:gridCol w:w="500"/>
        <w:gridCol w:w="109"/>
        <w:gridCol w:w="109"/>
        <w:gridCol w:w="109"/>
        <w:gridCol w:w="109"/>
        <w:gridCol w:w="297"/>
        <w:gridCol w:w="708"/>
        <w:gridCol w:w="167"/>
        <w:gridCol w:w="109"/>
        <w:gridCol w:w="109"/>
        <w:gridCol w:w="109"/>
        <w:gridCol w:w="196"/>
        <w:gridCol w:w="466"/>
        <w:gridCol w:w="109"/>
        <w:gridCol w:w="109"/>
        <w:gridCol w:w="109"/>
        <w:gridCol w:w="109"/>
        <w:gridCol w:w="196"/>
        <w:gridCol w:w="500"/>
        <w:gridCol w:w="109"/>
        <w:gridCol w:w="109"/>
        <w:gridCol w:w="109"/>
        <w:gridCol w:w="109"/>
        <w:gridCol w:w="291"/>
        <w:gridCol w:w="695"/>
        <w:gridCol w:w="237"/>
      </w:tblGrid>
      <w:tr>
        <w:trPr/>
        <w:tc>
          <w:tcPr>
            <w:tcW w:w="1093"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 by OPERATING SEGMENT</w:t>
            </w:r>
          </w:p>
        </w:tc>
      </w:tr>
      <w:tr>
        <w:trPr/>
        <w:tc>
          <w:tcPr>
            <w:tcW w:w="3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0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340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 /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 / (Decrease)</w:t>
            </w:r>
          </w:p>
        </w:tc>
      </w:tr>
      <w:tr>
        <w:trPr/>
        <w:tc>
          <w:tcPr>
            <w:tcW w:w="3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Infrastructure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Life Sciences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Spectrum</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Non-Operating Corporate</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and eliminations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3"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3023"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3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INNOVATE Corp.</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38.2 </w:t>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Preferred stock dividends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common stockholders and participating preferred stockholders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32.4 </w:t>
            </w:r>
          </w:p>
        </w:tc>
        <w:tc>
          <w:tcPr>
            <w:tcW w:w="1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firstLine="36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417" w:before="0" w:after="120"/>
        <w:ind w:left="0" w:right="0" w:hanging="360"/>
        <w:jc w:val="both"/>
        <w:rPr/>
      </w:pPr>
      <w:r>
        <w:rPr>
          <w:color w:val="04081C"/>
        </w:rPr>
        <w:t>•</w:t>
      </w:r>
      <w:r>
        <w:rPr>
          <w:rFonts w:ascii="Times New Roman;serif" w:hAnsi="Times New Roman;serif"/>
          <w:b/>
          <w:color w:val="000000"/>
          <w:sz w:val="20"/>
        </w:rPr>
        <w:t>Adjusted EBITDA:</w:t>
      </w:r>
      <w:r>
        <w:rPr>
          <w:color w:val="000000"/>
        </w:rPr>
        <w:t xml:space="preserve"> </w:t>
      </w:r>
      <w:r>
        <w:rPr>
          <w:rFonts w:ascii="Times New Roman;serif" w:hAnsi="Times New Roman;serif"/>
          <w:b w:val="false"/>
          <w:color w:val="000000"/>
          <w:sz w:val="20"/>
        </w:rPr>
        <w:t xml:space="preserve">For the second quarter of 2026, Total Adjusted EBITDA was $46.3 million compared to Total Adjusted EBITDA of $15.7 million for the prior year quarter. The increase in Adjusted EBITDA was primarily driven by our Infrastructure and Life Sciences segments, which was partially offset by a decrease at our Spectrum segment. The increase in Adjusted EBITDA was primarily driven by an increase in revenue and gross profit at DBMG's commercial structural steel fabrication and erection business, which had increased activity subsequent to the comparable period on certain large construction projects, </w:t>
      </w:r>
      <w:r>
        <w:rPr>
          <w:rFonts w:ascii="Times New Roman;serif" w:hAnsi="Times New Roman;serif"/>
          <w:b w:val="false"/>
          <w:color w:val="000000"/>
          <w:sz w:val="20"/>
          <w:shd w:fill="FFFFFF" w:val="clear"/>
        </w:rPr>
        <w:t xml:space="preserve">combined with changes in the estimate of the cost to complete those projects recognized in the ordinary course driven by efficiencies recognized around certain projects, </w:t>
      </w:r>
      <w:r>
        <w:rPr>
          <w:rFonts w:ascii="Times New Roman;serif" w:hAnsi="Times New Roman;serif"/>
          <w:b w:val="false"/>
          <w:color w:val="000000"/>
          <w:sz w:val="20"/>
        </w:rPr>
        <w:t>and, to a lesser extent, by an increase in revenue and gross profit at the construction modeling and detailing business. The increase was partially offset by an increase in recurring SG&amp;A expenses, primarily driven by the timing of compensation-related expenses and a decrease in revenue and gross profit at our industrial maintenance and repair business due to timing of certain large construction projects in the comparable period that have since been completed. The increase at our Life Sciences segment was primarily driven by a decrease in recurring SG&amp;A due to a reduction in compensation-related expenses at R2 and Pansend. The decrease in Adjusted EBITDA at our Spectrum segment was primarily driven by the decrease in revenue.</w:t>
      </w:r>
    </w:p>
    <w:tbl>
      <w:tblPr>
        <w:tblW w:w="10205" w:type="dxa"/>
        <w:jc w:val="left"/>
        <w:tblInd w:w="0" w:type="dxa"/>
        <w:tblLayout w:type="fixed"/>
        <w:tblCellMar>
          <w:top w:w="28" w:type="dxa"/>
          <w:left w:w="28" w:type="dxa"/>
          <w:bottom w:w="28" w:type="dxa"/>
          <w:right w:w="28" w:type="dxa"/>
        </w:tblCellMar>
      </w:tblPr>
      <w:tblGrid>
        <w:gridCol w:w="631"/>
        <w:gridCol w:w="555"/>
        <w:gridCol w:w="559"/>
        <w:gridCol w:w="279"/>
        <w:gridCol w:w="663"/>
        <w:gridCol w:w="155"/>
        <w:gridCol w:w="155"/>
        <w:gridCol w:w="155"/>
        <w:gridCol w:w="155"/>
        <w:gridCol w:w="279"/>
        <w:gridCol w:w="663"/>
        <w:gridCol w:w="155"/>
        <w:gridCol w:w="155"/>
        <w:gridCol w:w="155"/>
        <w:gridCol w:w="155"/>
        <w:gridCol w:w="361"/>
        <w:gridCol w:w="860"/>
        <w:gridCol w:w="203"/>
        <w:gridCol w:w="109"/>
        <w:gridCol w:w="109"/>
        <w:gridCol w:w="109"/>
        <w:gridCol w:w="196"/>
        <w:gridCol w:w="466"/>
        <w:gridCol w:w="109"/>
        <w:gridCol w:w="109"/>
        <w:gridCol w:w="109"/>
        <w:gridCol w:w="109"/>
        <w:gridCol w:w="196"/>
        <w:gridCol w:w="466"/>
        <w:gridCol w:w="109"/>
        <w:gridCol w:w="109"/>
        <w:gridCol w:w="109"/>
        <w:gridCol w:w="109"/>
        <w:gridCol w:w="330"/>
        <w:gridCol w:w="787"/>
        <w:gridCol w:w="272"/>
      </w:tblGrid>
      <w:tr>
        <w:trPr/>
        <w:tc>
          <w:tcPr>
            <w:tcW w:w="63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4869"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EBITDA by OPERATING SEGMENT</w:t>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4548"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 /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Increase/(Decrease)</w:t>
            </w:r>
          </w:p>
        </w:tc>
      </w:tr>
      <w:tr>
        <w:trPr/>
        <w:tc>
          <w:tcPr>
            <w:tcW w:w="1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Infrastructure</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35.7 </w:t>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Life Sciences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Spectrum</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Non-Operating Corporate</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and eliminations</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Total Adjusted EBITDA</w:t>
            </w:r>
            <w:r>
              <w:rPr>
                <w:rFonts w:ascii="Times New Roman;serif" w:hAnsi="Times New Roman;serif"/>
                <w:b w:val="false"/>
                <w:color w:val="000000"/>
                <w:sz w:val="12"/>
              </w:rPr>
              <w:t>(1)</w:t>
            </w:r>
          </w:p>
        </w:tc>
        <w:tc>
          <w:tcPr>
            <w:tcW w:w="2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2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43.1 </w:t>
            </w:r>
          </w:p>
        </w:tc>
        <w:tc>
          <w:tcPr>
            <w:tcW w:w="2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0"/>
        <w:ind w:left="0" w:right="0" w:firstLine="360"/>
        <w:jc w:val="both"/>
        <w:rPr>
          <w:rFonts w:ascii="Times New Roman;serif" w:hAnsi="Times New Roman;serif"/>
          <w:b w:val="false"/>
          <w:color w:val="000000"/>
          <w:sz w:val="14"/>
        </w:rPr>
      </w:pPr>
      <w:r>
        <w:rPr>
          <w:rFonts w:ascii="Times New Roman;serif" w:hAnsi="Times New Roman;serif"/>
          <w:b w:val="false"/>
          <w:color w:val="000000"/>
          <w:sz w:val="14"/>
        </w:rPr>
        <w:t>(1) Reconciliation of GAAP to Non-GAAP measures follows.</w:t>
      </w:r>
    </w:p>
    <w:p>
      <w:pPr>
        <w:pStyle w:val="TextBody"/>
        <w:bidi w:val="0"/>
        <w:spacing w:before="0" w:after="0"/>
        <w:jc w:val="both"/>
        <w:rPr/>
      </w:pPr>
      <w:r>
        <w:rPr/>
      </w:r>
    </w:p>
    <w:p>
      <w:pPr>
        <w:pStyle w:val="TextBody"/>
        <w:bidi w:val="0"/>
        <w:spacing w:lineRule="auto" w:line="417" w:before="0" w:after="0"/>
        <w:ind w:left="0" w:right="0" w:hanging="360"/>
        <w:jc w:val="both"/>
        <w:rPr/>
      </w:pPr>
      <w:r>
        <w:rPr>
          <w:color w:val="000000"/>
        </w:rPr>
        <w:t>•</w:t>
      </w:r>
      <w:r>
        <w:rPr>
          <w:rFonts w:ascii="Times New Roman;serif" w:hAnsi="Times New Roman;serif"/>
          <w:b/>
          <w:color w:val="000000"/>
          <w:sz w:val="20"/>
        </w:rPr>
        <w:t xml:space="preserve">Balance Sheet: </w:t>
      </w:r>
      <w:r>
        <w:rPr>
          <w:rFonts w:ascii="Times New Roman;serif" w:hAnsi="Times New Roman;serif"/>
          <w:b w:val="false"/>
          <w:color w:val="000000"/>
          <w:sz w:val="20"/>
        </w:rPr>
        <w:t xml:space="preserve">As of June 30, 2026, INNOVATE had cash and cash equivalents, excluding restricted cash and cash and cash equivalents held for sale, of $87.8 million compared to $108.2 million as of December 31, 2025. On a stand-alone basis, as of June 30, 2026, our Non-Operating Corporate segment had cash and cash equivalents of $1.5 million compared to $4.2 million as of December 31, 2025.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417" w:before="0" w:after="0"/>
        <w:jc w:val="both"/>
        <w:rPr>
          <w:rFonts w:ascii="Times New Roman;serif" w:hAnsi="Times New Roman;serif"/>
          <w:b/>
          <w:color w:val="000000"/>
          <w:sz w:val="20"/>
          <w:u w:val="single"/>
        </w:rPr>
      </w:pPr>
      <w:r>
        <w:rPr>
          <w:rFonts w:ascii="Times New Roman;serif" w:hAnsi="Times New Roman;serif"/>
          <w:b/>
          <w:color w:val="000000"/>
          <w:sz w:val="20"/>
          <w:u w:val="single"/>
        </w:rPr>
        <w:t>Conference Call</w:t>
      </w:r>
    </w:p>
    <w:p>
      <w:pPr>
        <w:pStyle w:val="TextBody"/>
        <w:bidi w:val="0"/>
        <w:spacing w:lineRule="auto" w:line="417" w:before="120" w:after="283"/>
        <w:jc w:val="both"/>
        <w:rPr/>
      </w:pPr>
      <w:r>
        <w:rPr>
          <w:rFonts w:ascii="Times New Roman;serif" w:hAnsi="Times New Roman;serif"/>
          <w:b w:val="false"/>
          <w:color w:val="000000"/>
          <w:sz w:val="20"/>
        </w:rPr>
        <w:t xml:space="preserve">INNOVATE will host a live conference call to discuss its second quarter 2026 financial results and operations today at 4:30 p.m. ET. The Company will post an earnings supplemental presentation in the Investor Relations section of the INNOVATE website at </w:t>
      </w:r>
      <w:r>
        <w:rPr>
          <w:rFonts w:ascii="Times New Roman;serif" w:hAnsi="Times New Roman;serif"/>
          <w:b w:val="false"/>
          <w:color w:val="0563C1"/>
          <w:sz w:val="20"/>
          <w:u w:val="single"/>
        </w:rPr>
        <w:t>innovate-ir.com</w:t>
      </w:r>
      <w:r>
        <w:rPr>
          <w:color w:val="000000"/>
        </w:rPr>
        <w:t xml:space="preserve"> </w:t>
      </w:r>
      <w:r>
        <w:rPr>
          <w:rFonts w:ascii="Times New Roman;serif" w:hAnsi="Times New Roman;serif"/>
          <w:b w:val="false"/>
          <w:color w:val="000000"/>
          <w:sz w:val="20"/>
        </w:rPr>
        <w:t>to accompany the conference call. Dial-in instructions for the conference call and the replay follows.</w:t>
      </w:r>
    </w:p>
    <w:p>
      <w:pPr>
        <w:pStyle w:val="TextBody"/>
        <w:bidi w:val="0"/>
        <w:spacing w:lineRule="auto" w:line="417" w:before="120" w:after="283"/>
        <w:ind w:left="0" w:right="0" w:hanging="270"/>
        <w:jc w:val="left"/>
        <w:rPr/>
      </w:pPr>
      <w:r>
        <w:rPr>
          <w:color w:val="000000"/>
        </w:rPr>
        <w:t>•</w:t>
      </w:r>
      <w:r>
        <w:rPr>
          <w:rFonts w:ascii="Times New Roman;serif" w:hAnsi="Times New Roman;serif"/>
          <w:b/>
          <w:color w:val="000000"/>
          <w:sz w:val="20"/>
          <w:u w:val="single"/>
        </w:rPr>
        <w:t>Live Webcast and Call</w:t>
      </w:r>
      <w:r>
        <w:rPr>
          <w:rFonts w:ascii="Times New Roman;serif" w:hAnsi="Times New Roman;serif"/>
          <w:b/>
          <w:color w:val="000000"/>
          <w:sz w:val="20"/>
        </w:rPr>
        <w:t xml:space="preserve">. </w:t>
      </w:r>
      <w:r>
        <w:rPr>
          <w:rFonts w:ascii="Times New Roman;serif" w:hAnsi="Times New Roman;serif"/>
          <w:b w:val="false"/>
          <w:color w:val="000000"/>
          <w:sz w:val="20"/>
        </w:rPr>
        <w:t xml:space="preserve">A live webcast of the conference call can be accessed by interested parties through the Investor Relations section of the INNOVATE website at </w:t>
      </w:r>
      <w:r>
        <w:rPr>
          <w:rFonts w:ascii="Times New Roman;serif" w:hAnsi="Times New Roman;serif"/>
          <w:b w:val="false"/>
          <w:color w:val="0563C1"/>
          <w:sz w:val="20"/>
          <w:u w:val="single"/>
        </w:rPr>
        <w:t>innovate-ir.com</w:t>
      </w:r>
      <w:r>
        <w:rPr>
          <w:rFonts w:ascii="Times New Roman;serif" w:hAnsi="Times New Roman;serif"/>
          <w:b w:val="false"/>
          <w:color w:val="000000"/>
          <w:sz w:val="20"/>
        </w:rPr>
        <w:t>.</w:t>
      </w:r>
    </w:p>
    <w:p>
      <w:pPr>
        <w:pStyle w:val="TextBody"/>
        <w:bidi w:val="0"/>
        <w:spacing w:lineRule="auto" w:line="417" w:before="0" w:after="0"/>
        <w:ind w:left="0" w:right="0" w:hanging="360"/>
        <w:jc w:val="left"/>
        <w:rPr/>
      </w:pPr>
      <w:r>
        <w:rPr>
          <w:color w:val="000000"/>
        </w:rPr>
        <w:t>–</w:t>
      </w:r>
      <w:r>
        <w:rPr>
          <w:rFonts w:ascii="Times New Roman;serif" w:hAnsi="Times New Roman;serif"/>
          <w:b w:val="false"/>
          <w:color w:val="000000"/>
          <w:sz w:val="20"/>
        </w:rPr>
        <w:t>Dial-in: 1-877-704-4453 (Domestic Toll Free) / 1-201-389-0920 (Toll/International)</w:t>
      </w:r>
    </w:p>
    <w:p>
      <w:pPr>
        <w:pStyle w:val="TextBody"/>
        <w:bidi w:val="0"/>
        <w:spacing w:lineRule="auto" w:line="417" w:before="120" w:after="150"/>
        <w:ind w:left="0" w:right="0" w:hanging="270"/>
        <w:jc w:val="left"/>
        <w:rPr/>
      </w:pPr>
      <w:r>
        <w:rPr>
          <w:color w:val="000000"/>
        </w:rPr>
        <w:t>•</w:t>
      </w:r>
      <w:r>
        <w:rPr>
          <w:rFonts w:ascii="Times New Roman;serif" w:hAnsi="Times New Roman;serif"/>
          <w:b/>
          <w:color w:val="000000"/>
          <w:sz w:val="20"/>
          <w:u w:val="single"/>
        </w:rPr>
        <w:t>Conference Replay*</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0"/>
        </w:rPr>
        <w:t>Dial-in: 1-844-512-2921 (Domestic Toll Free) / 1-412-317-6671 (Toll/International)</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Conference Number: 13761666</w:t>
      </w:r>
    </w:p>
    <w:p>
      <w:pPr>
        <w:pStyle w:val="TextBody"/>
        <w:bidi w:val="0"/>
        <w:spacing w:lineRule="auto" w:line="417" w:before="180" w:after="150"/>
        <w:jc w:val="left"/>
        <w:rPr>
          <w:rFonts w:ascii="Times New Roman;serif" w:hAnsi="Times New Roman;serif"/>
          <w:b w:val="false"/>
          <w:color w:val="000000"/>
          <w:sz w:val="20"/>
        </w:rPr>
      </w:pPr>
      <w:r>
        <w:rPr>
          <w:rFonts w:ascii="Times New Roman;serif" w:hAnsi="Times New Roman;serif"/>
          <w:b w:val="false"/>
          <w:color w:val="000000"/>
          <w:sz w:val="20"/>
        </w:rPr>
        <w:t>*Available approximately three hours after the end of the conference call through August 20,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About INNOVATE</w:t>
      </w:r>
    </w:p>
    <w:p>
      <w:pPr>
        <w:pStyle w:val="TextBody"/>
        <w:bidi w:val="0"/>
        <w:spacing w:lineRule="auto" w:line="417" w:before="120" w:after="283"/>
        <w:jc w:val="both"/>
        <w:rPr/>
      </w:pPr>
      <w:r>
        <w:rPr>
          <w:rFonts w:ascii="Times New Roman;serif" w:hAnsi="Times New Roman;serif"/>
          <w:b w:val="false"/>
          <w:color w:val="000000"/>
          <w:sz w:val="20"/>
        </w:rPr>
        <w:t xml:space="preserve">INNOVATE is a portfolio of best-in-class assets in three key areas of the new economy – Infrastructure, Life Sciences and Spectrum. Dedicated to stakeholder capitalism, INNOVATE employs approximately </w:t>
      </w:r>
      <w:r>
        <w:rPr>
          <w:rFonts w:ascii="Times New Roman;serif" w:hAnsi="Times New Roman;serif"/>
          <w:b w:val="false"/>
          <w:color w:val="000000"/>
          <w:sz w:val="20"/>
          <w:shd w:fill="FFFFFF" w:val="clear"/>
        </w:rPr>
        <w:t>3,700</w:t>
      </w:r>
      <w:r>
        <w:rPr>
          <w:color w:val="000000"/>
        </w:rPr>
        <w:t xml:space="preserve"> </w:t>
      </w:r>
      <w:r>
        <w:rPr>
          <w:rFonts w:ascii="Times New Roman;serif" w:hAnsi="Times New Roman;serif"/>
          <w:b w:val="false"/>
          <w:color w:val="000000"/>
          <w:sz w:val="20"/>
        </w:rPr>
        <w:t>people across its subsidiaries. For more information, please visit: www.INNOVATECorp.com.</w:t>
      </w:r>
    </w:p>
    <w:p>
      <w:pPr>
        <w:pStyle w:val="TextBody"/>
        <w:bidi w:val="0"/>
        <w:spacing w:before="0" w:after="0"/>
        <w:jc w:val="left"/>
        <w:rPr/>
      </w:pPr>
      <w:r>
        <w:rPr/>
      </w:r>
    </w:p>
    <w:p>
      <w:pPr>
        <w:pStyle w:val="TextBody"/>
        <w:bidi w:val="0"/>
        <w:spacing w:lineRule="auto" w:line="417" w:before="0" w:after="0"/>
        <w:jc w:val="both"/>
        <w:rPr>
          <w:rFonts w:ascii="Times New Roman;serif" w:hAnsi="Times New Roman;serif"/>
          <w:b/>
          <w:color w:val="000000"/>
          <w:sz w:val="20"/>
          <w:u w:val="single"/>
        </w:rPr>
      </w:pPr>
      <w:r>
        <w:rPr>
          <w:rFonts w:ascii="Times New Roman;serif" w:hAnsi="Times New Roman;serif"/>
          <w:b/>
          <w:color w:val="000000"/>
          <w:sz w:val="20"/>
          <w:u w:val="single"/>
        </w:rPr>
        <w:t>Contacts</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Investor Contact:</w:t>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Anthony Rozmus</w:t>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ir@innovatecorp.com</w:t>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(212) 235-2691</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417" w:before="240" w:after="283"/>
        <w:jc w:val="both"/>
        <w:rPr>
          <w:rFonts w:ascii="Times New Roman;serif" w:hAnsi="Times New Roman;serif"/>
          <w:b w:val="false"/>
          <w:color w:val="000000"/>
          <w:sz w:val="20"/>
        </w:rPr>
      </w:pPr>
      <w:r>
        <w:rPr>
          <w:rFonts w:ascii="Times New Roman;serif" w:hAnsi="Times New Roman;serif"/>
          <w:b w:val="false"/>
          <w:color w:val="000000"/>
          <w:sz w:val="20"/>
        </w:rPr>
        <w:t>In this press release, INNOVATE refers to certain financial measures that are not presented in accordance with U.S. generally accepted accounting principles (“U.S. GAAP”), including Total Adjusted EBITDA (excluding discontinued operations, if applicable) and Adjusted EBITDA for its operating segments. In addition, other companies may define Adjusted EBITDA differently than we do, which could limit its usefulness.</w:t>
      </w:r>
    </w:p>
    <w:p>
      <w:pPr>
        <w:pStyle w:val="TextBody"/>
        <w:bidi w:val="0"/>
        <w:spacing w:lineRule="auto" w:line="417" w:before="240" w:after="283"/>
        <w:jc w:val="both"/>
        <w:rPr>
          <w:rFonts w:ascii="Times New Roman;serif" w:hAnsi="Times New Roman;serif"/>
          <w:b/>
          <w:i/>
          <w:color w:val="000000"/>
          <w:sz w:val="20"/>
        </w:rPr>
      </w:pPr>
      <w:r>
        <w:rPr>
          <w:rFonts w:ascii="Times New Roman;serif" w:hAnsi="Times New Roman;serif"/>
          <w:b/>
          <w:i/>
          <w:color w:val="000000"/>
          <w:sz w:val="20"/>
        </w:rPr>
        <w:t>Adjusted EBITDA</w:t>
      </w:r>
    </w:p>
    <w:p>
      <w:pPr>
        <w:pStyle w:val="TextBody"/>
        <w:bidi w:val="0"/>
        <w:spacing w:lineRule="auto" w:line="417"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believes that Adjusted EBITDA provides investors with meaningful information for gaining an understanding of our results as it is frequently used by the financial community to provide insight into an organization’s operating trends and facilitates comparisons between peer companies, since interest, taxes, depreciation, amortization and the other items listed in the definition of Adjusted EBITDA below can differ greatly between organizations as a result of differing capital structures and tax strategies. Adjusted EBITDA can also be a useful measure of a company’s ability to service debt. While management believes that non-U.S. GAAP measurements are useful supplemental information, such adjusted results are not intended to replace our U.S. GAAP financial results. Using Adjusted EBITDA as a performance measure has inherent limitations as an analytical tool as compared to net income (loss) or other U.S. GAAP financial measures, as this non-U.S. GAAP measure excludes certain items, including items </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417"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that are recurring in nature, which may be meaningful to investors. As a result of the exclusions, Adjusted EBITDA should not be considered in isolation and does not purport to be an alternative to net income (loss) or other U.S. GAAP financial measures as a measure of our operating performance. </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The calculation of Adjusted EBITDA, as defined by us, consists of Net income (loss) attributable to INNOVATE Corp., excluding: discontinued operations, if applicable; depreciation and amortization; other operating (income) loss (which is inclusive of (gain) loss on sale or disposal of assets, lease termination costs, (gains) losses on lease modifications, and asset impairment expense); interest expense; (gain) loss on extinguishment of debt; other (income) expense, net; income tax expense (benefit); non-controlling interests; share-based compensation expense; realignment and exit costs; facility commissioning costs; debt refinancing costs and acquisition and disposition costs.</w:t>
      </w:r>
    </w:p>
    <w:p>
      <w:pPr>
        <w:pStyle w:val="TextBody"/>
        <w:bidi w:val="0"/>
        <w:spacing w:lineRule="auto" w:line="417" w:before="240" w:after="283"/>
        <w:jc w:val="both"/>
        <w:rPr>
          <w:rFonts w:ascii="Times New Roman;serif" w:hAnsi="Times New Roman;serif"/>
          <w:b/>
          <w:color w:val="000000"/>
          <w:sz w:val="20"/>
        </w:rPr>
      </w:pPr>
      <w:r>
        <w:rPr>
          <w:rFonts w:ascii="Times New Roman;serif" w:hAnsi="Times New Roman;serif"/>
          <w:b/>
          <w:color w:val="000000"/>
          <w:sz w:val="20"/>
        </w:rPr>
        <w:t>Cautionary Statement Regarding Forward-Looking Statements</w:t>
      </w:r>
    </w:p>
    <w:p>
      <w:pPr>
        <w:pStyle w:val="TextBody"/>
        <w:bidi w:val="0"/>
        <w:spacing w:lineRule="auto" w:line="417"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Safe Harbor Statement under the Private Securities Litigation Reform Act of 1995: This press release contains, and certain oral statements made by our representatives from time to time may contain, “forward-looking statements.” Generally, forward-looking statements include information describing actions, events, results, strategies and expectations and are generally identifiable by use of the words “believes,” “expects,” “intends,” “anticipates,” “plans,” “seeks,” “estimates,” “projects,” “may,” “will,” “could,” “might,” or “continues” or similar expressions. Such forward-looking statements are based on current expectations and inherently involve certain risks, assumptions and uncertainties. The forward-looking statements in this press release include, without limitation, any statements regarding INNOVATE’s plans and expectations for future growth and ability to capitalize on potential opportunities, the achievement of INNOVATE’s strategic objectives, expectations for performance of new projects and realization of revenue from the backlog at DBMG and the Infrastructure segment, anticipated success from the continued sale of new products in the Life Sciences segment, expectations for advertising revenue growth, new technologies, networks and stations, and potential commercial opportunities in datacasting in the Spectrum segment. Such statements are based on the beliefs and assumptions of INNOVATE’s management and the management of INNOVATE’s subsidiaries and portfolio companies. </w:t>
      </w:r>
    </w:p>
    <w:p>
      <w:pPr>
        <w:pStyle w:val="TextBody"/>
        <w:bidi w:val="0"/>
        <w:spacing w:before="0" w:after="0"/>
        <w:jc w:val="both"/>
        <w:rPr/>
      </w:pPr>
      <w:r>
        <w:rPr/>
      </w:r>
    </w:p>
    <w:p>
      <w:pPr>
        <w:pStyle w:val="TextBody"/>
        <w:bidi w:val="0"/>
        <w:spacing w:lineRule="auto" w:line="417"/>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believes these judgments are reasonable, but these statements are not guarantees of performance, results or the creation of stockholder value and the Company’s actual results could differ materially from those expressed or implied in the forward-looking statements due to a variety of important factors, both positive and negative, including those that may be identified in subsequent statements and reports filed with the Securities and Exchange Commission (“SEC”), including in our reports on Forms 10-K, 10-Q, and 8-K. Such important factors include, without limitation: our dependence on distributions from our subsidiaries to fund our operations and payments on our obligations; substantial doubt about our ability to continue operating as a going concern; our expectations and timing with respect to any strategic dispositions and sales of our operating subsidiaries, or businesses, including, without limitation, the sales of DBMG and Broadcasting; obtaining FCC regulatory approval for the Broadcasting merger; the possibility of indemnification claims arising out of divestitures of businesses; the impact on our business and financial condition of our substantial indebtedness and any significant additional indebtedness and other financing obligations we may incur; our possible inability to raise additional capital when needed or refinance our existing debt, on attractive terms, or at all; our anticipated business profile following the highly substantial asset dispositions we are pursuing, including the potential absence of material operating revenue and uncertainty regarding the nature of any future operations; our dependence on the retaining and recruitment of key personnel; volatility in the trading price of our common stock; the impact of potential supply chain disruptions, labor shortages and increases in overall price levels, including in steel and transportation costs; interest rate </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environment; developments relating to the hostilities in Ukraine, the Middle East and Venezuela; increased competition in the markets in which our operating segments conduct their businesses; our ability to successfully identify any strategic acquisitions or business opportunities; uncertain global economic conditions in the markets in which our operating segments conduct their businesses; changes in regulations and tax laws; covenant noncompliance risk; tax consequences associated with our acquisitions, holding and disposition of target companies and assets; the ability of our operating segments to attract and retain customers; and our expectations regarding the timing, extent and effectiveness of any cost reduction initiatives and management’s ability to moderate or control discretionary spending.</w:t>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Although INNOVATE believes its expectations and assumptions regarding its future operating performance are reasonable, there can be no assurance that the expectations reflected herein will be achieved. These risks and other important factors discussed under the caption “Risk Factors” in our most recent Annual Report on Form 10-K filed with the SEC, and our other reports filed with the SEC could cause actual results to differ materially from those indicated by the forward-looking statements made in this press release.</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You should not place undue reliance on forward-looking statements. All forward-looking statements attributable to INNOVATE or persons acting on its behalf are expressly qualified in their entirety by the foregoing cautionary statements. All such statements speak only as of the date made, and unless legally required, INNOVATE undertakes no obligation to update or revise publicly any forward-looking statements,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INNOVATE CORP.</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CONDENSED CONSOLIDATED STATEMENTS OF OPERATIONS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 in millions, except shares and per share amounts)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807"/>
        <w:gridCol w:w="1380"/>
        <w:gridCol w:w="1353"/>
        <w:gridCol w:w="109"/>
        <w:gridCol w:w="109"/>
        <w:gridCol w:w="109"/>
        <w:gridCol w:w="250"/>
        <w:gridCol w:w="711"/>
        <w:gridCol w:w="114"/>
        <w:gridCol w:w="114"/>
        <w:gridCol w:w="114"/>
        <w:gridCol w:w="114"/>
        <w:gridCol w:w="250"/>
        <w:gridCol w:w="711"/>
        <w:gridCol w:w="114"/>
        <w:gridCol w:w="109"/>
        <w:gridCol w:w="109"/>
        <w:gridCol w:w="109"/>
        <w:gridCol w:w="250"/>
        <w:gridCol w:w="711"/>
        <w:gridCol w:w="109"/>
        <w:gridCol w:w="109"/>
        <w:gridCol w:w="109"/>
        <w:gridCol w:w="109"/>
        <w:gridCol w:w="250"/>
        <w:gridCol w:w="711"/>
        <w:gridCol w:w="161"/>
      </w:tblGrid>
      <w:tr>
        <w:trPr/>
        <w:tc>
          <w:tcPr>
            <w:tcW w:w="1807"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449" w:type="dxa"/>
            <w:gridSpan w:val="6"/>
            <w:tcBorders/>
          </w:tcPr>
          <w:p>
            <w:pPr>
              <w:pStyle w:val="TableContents"/>
              <w:bidi w:val="0"/>
              <w:spacing w:before="0" w:after="283"/>
              <w:jc w:val="left"/>
              <w:rPr>
                <w:sz w:val="4"/>
                <w:szCs w:val="4"/>
              </w:rPr>
            </w:pPr>
            <w:r>
              <w:rPr>
                <w:sz w:val="4"/>
                <w:szCs w:val="4"/>
              </w:rPr>
            </w:r>
          </w:p>
        </w:tc>
      </w:tr>
      <w:tr>
        <w:trPr/>
        <w:tc>
          <w:tcPr>
            <w:tcW w:w="4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421.6 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242.0 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516.2 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91.1 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4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4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4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equity investees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4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(loss) from operations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4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4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non-controlling interests and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 attributable to INNOVATE Corp.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 attributable to common stockholders and participating preferred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(loss)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4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4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4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4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4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4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4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4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13,374,803 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13,146,750 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13,360,333 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13,130,930 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4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13,968,004 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13,146,750 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13,360,333 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13,130,930 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INNOVATE CORP.</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CONDENSED CONSOLIDATED BALANCE SHEETS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 in millions, except share amounts)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740"/>
        <w:gridCol w:w="2320"/>
        <w:gridCol w:w="2359"/>
        <w:gridCol w:w="109"/>
        <w:gridCol w:w="109"/>
        <w:gridCol w:w="109"/>
        <w:gridCol w:w="196"/>
        <w:gridCol w:w="691"/>
        <w:gridCol w:w="109"/>
        <w:gridCol w:w="109"/>
        <w:gridCol w:w="109"/>
        <w:gridCol w:w="109"/>
        <w:gridCol w:w="245"/>
        <w:gridCol w:w="696"/>
        <w:gridCol w:w="195"/>
      </w:tblGrid>
      <w:tr>
        <w:trPr/>
        <w:tc>
          <w:tcPr>
            <w:tcW w:w="2740"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2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7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7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7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451.4 </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7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7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7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7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7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Assets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167.7 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950.1 </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temporary equity and stockholders’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Accounts payable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debt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171.9 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current liabilities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1,034.1 </w:t>
            </w:r>
          </w:p>
        </w:tc>
        <w:tc>
          <w:tcPr>
            <w:tcW w:w="19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7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7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1,165.4 </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Commitments and contingencies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Temporary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 Series A-3 and Preferred Stock Series A-4, $0.001 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authorized: 20,000,000; Shares issued and outstanding: 6,125 of Series A-3; 1,937 of Series A-4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temporary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$0.001 par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Shares authorized: 250,000,000; Shares issued: 13,818,904; Shares outstanding: 13,641,866 and 13,655,062, respectively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7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stock, at cost: 177,038 and 163,842 shares,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(582.5)</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INNOVATE Corp. stockholders’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(240.1)</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stockholders’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(226.2)</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temporary equity and stockholders’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1,006.7 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950.1 </w:t>
            </w:r>
          </w:p>
        </w:tc>
        <w:tc>
          <w:tcPr>
            <w:tcW w:w="1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INNOVATE CORP.</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RECONCILIATION OF NET INCOME (LOSS) TO ADJUSTED EBITDA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 in millions)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085"/>
        <w:gridCol w:w="828"/>
        <w:gridCol w:w="833"/>
        <w:gridCol w:w="109"/>
        <w:gridCol w:w="109"/>
        <w:gridCol w:w="109"/>
        <w:gridCol w:w="225"/>
        <w:gridCol w:w="535"/>
        <w:gridCol w:w="126"/>
        <w:gridCol w:w="109"/>
        <w:gridCol w:w="109"/>
        <w:gridCol w:w="109"/>
        <w:gridCol w:w="207"/>
        <w:gridCol w:w="444"/>
        <w:gridCol w:w="115"/>
        <w:gridCol w:w="109"/>
        <w:gridCol w:w="109"/>
        <w:gridCol w:w="109"/>
        <w:gridCol w:w="196"/>
        <w:gridCol w:w="376"/>
        <w:gridCol w:w="109"/>
        <w:gridCol w:w="109"/>
        <w:gridCol w:w="109"/>
        <w:gridCol w:w="109"/>
        <w:gridCol w:w="305"/>
        <w:gridCol w:w="752"/>
        <w:gridCol w:w="171"/>
        <w:gridCol w:w="109"/>
        <w:gridCol w:w="109"/>
        <w:gridCol w:w="109"/>
        <w:gridCol w:w="306"/>
        <w:gridCol w:w="636"/>
        <w:gridCol w:w="173"/>
        <w:gridCol w:w="109"/>
        <w:gridCol w:w="109"/>
        <w:gridCol w:w="109"/>
        <w:gridCol w:w="196"/>
        <w:gridCol w:w="466"/>
        <w:gridCol w:w="159"/>
      </w:tblGrid>
      <w:tr>
        <w:trPr/>
        <w:tc>
          <w:tcPr>
            <w:tcW w:w="1085"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June 30, 2026</w:t>
            </w:r>
          </w:p>
        </w:tc>
      </w:tr>
      <w:tr>
        <w:trPr/>
        <w:tc>
          <w:tcPr>
            <w:tcW w:w="2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Infrastructure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Life Sciences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Spectrum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Non-Operating 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Other and 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INNOVATE</w:t>
            </w:r>
          </w:p>
        </w:tc>
      </w:tr>
      <w:tr>
        <w:trPr/>
        <w:tc>
          <w:tcPr>
            <w:tcW w:w="2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r>
      <w:tr>
        <w:trPr/>
        <w:tc>
          <w:tcPr>
            <w:tcW w:w="2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r>
      <w:tr>
        <w:trPr/>
        <w:tc>
          <w:tcPr>
            <w:tcW w:w="2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attributable to INNOVATE 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Adjustments to reconcile net income (loss) to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 (included in 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r>
      <w:tr>
        <w:trPr/>
        <w:tc>
          <w:tcPr>
            <w:tcW w:w="2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r>
      <w:tr>
        <w:trPr/>
        <w:tc>
          <w:tcPr>
            <w:tcW w:w="2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r>
      <w:tr>
        <w:trPr/>
        <w:tc>
          <w:tcPr>
            <w:tcW w:w="2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r>
      <w:tr>
        <w:trPr/>
        <w:tc>
          <w:tcPr>
            <w:tcW w:w="2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r>
      <w:tr>
        <w:trPr/>
        <w:tc>
          <w:tcPr>
            <w:tcW w:w="2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r>
      <w:tr>
        <w:trPr/>
        <w:tc>
          <w:tcPr>
            <w:tcW w:w="2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r>
      <w:tr>
        <w:trPr/>
        <w:tc>
          <w:tcPr>
            <w:tcW w:w="2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r>
      <w:tr>
        <w:trPr/>
        <w:tc>
          <w:tcPr>
            <w:tcW w:w="2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r>
      <w:tr>
        <w:trPr/>
        <w:tc>
          <w:tcPr>
            <w:tcW w:w="2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r>
      <w:tr>
        <w:trPr/>
        <w:tc>
          <w:tcPr>
            <w:tcW w:w="2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r>
      <w:tr>
        <w:trPr/>
        <w:tc>
          <w:tcPr>
            <w:tcW w:w="2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Realignment and exit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Facility commissioning costs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refinancing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and disposition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48.7 </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r>
      <w:tr>
        <w:trPr/>
        <w:tc>
          <w:tcPr>
            <w:tcW w:w="2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067"/>
        <w:gridCol w:w="808"/>
        <w:gridCol w:w="813"/>
        <w:gridCol w:w="109"/>
        <w:gridCol w:w="109"/>
        <w:gridCol w:w="109"/>
        <w:gridCol w:w="225"/>
        <w:gridCol w:w="535"/>
        <w:gridCol w:w="126"/>
        <w:gridCol w:w="109"/>
        <w:gridCol w:w="109"/>
        <w:gridCol w:w="109"/>
        <w:gridCol w:w="206"/>
        <w:gridCol w:w="442"/>
        <w:gridCol w:w="115"/>
        <w:gridCol w:w="109"/>
        <w:gridCol w:w="109"/>
        <w:gridCol w:w="109"/>
        <w:gridCol w:w="196"/>
        <w:gridCol w:w="416"/>
        <w:gridCol w:w="109"/>
        <w:gridCol w:w="109"/>
        <w:gridCol w:w="109"/>
        <w:gridCol w:w="109"/>
        <w:gridCol w:w="303"/>
        <w:gridCol w:w="745"/>
        <w:gridCol w:w="169"/>
        <w:gridCol w:w="109"/>
        <w:gridCol w:w="109"/>
        <w:gridCol w:w="109"/>
        <w:gridCol w:w="303"/>
        <w:gridCol w:w="631"/>
        <w:gridCol w:w="171"/>
        <w:gridCol w:w="109"/>
        <w:gridCol w:w="109"/>
        <w:gridCol w:w="109"/>
        <w:gridCol w:w="196"/>
        <w:gridCol w:w="506"/>
        <w:gridCol w:w="161"/>
      </w:tblGrid>
      <w:tr>
        <w:trPr/>
        <w:tc>
          <w:tcPr>
            <w:tcW w:w="1067"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June 30, 2025</w:t>
            </w:r>
          </w:p>
        </w:tc>
      </w:tr>
      <w:tr>
        <w:trPr/>
        <w:tc>
          <w:tcPr>
            <w:tcW w:w="2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Infrastructure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Life Sciences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Spectrum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Non-Operating 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Other and 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INNOVATE</w:t>
            </w:r>
          </w:p>
        </w:tc>
      </w:tr>
      <w:tr>
        <w:trPr/>
        <w:tc>
          <w:tcPr>
            <w:tcW w:w="2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attributable to INNOVATE 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Adjustments to reconcile net income (loss) to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 (included in 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operating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Realignment and exit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19.3 </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INNOVATE CORP.</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RECONCILIATION OF NET INCOME (LOSS) TO ADJUSTED EBITDA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 in millions)</w:t>
      </w:r>
    </w:p>
    <w:tbl>
      <w:tblPr>
        <w:tblW w:w="10205" w:type="dxa"/>
        <w:jc w:val="center"/>
        <w:tblInd w:w="0" w:type="dxa"/>
        <w:tblLayout w:type="fixed"/>
        <w:tblCellMar>
          <w:top w:w="28" w:type="dxa"/>
          <w:left w:w="28" w:type="dxa"/>
          <w:bottom w:w="28" w:type="dxa"/>
          <w:right w:w="28" w:type="dxa"/>
        </w:tblCellMar>
      </w:tblPr>
      <w:tblGrid>
        <w:gridCol w:w="1085"/>
        <w:gridCol w:w="828"/>
        <w:gridCol w:w="833"/>
        <w:gridCol w:w="109"/>
        <w:gridCol w:w="109"/>
        <w:gridCol w:w="109"/>
        <w:gridCol w:w="225"/>
        <w:gridCol w:w="535"/>
        <w:gridCol w:w="126"/>
        <w:gridCol w:w="109"/>
        <w:gridCol w:w="109"/>
        <w:gridCol w:w="109"/>
        <w:gridCol w:w="207"/>
        <w:gridCol w:w="444"/>
        <w:gridCol w:w="115"/>
        <w:gridCol w:w="109"/>
        <w:gridCol w:w="109"/>
        <w:gridCol w:w="109"/>
        <w:gridCol w:w="196"/>
        <w:gridCol w:w="376"/>
        <w:gridCol w:w="109"/>
        <w:gridCol w:w="109"/>
        <w:gridCol w:w="109"/>
        <w:gridCol w:w="109"/>
        <w:gridCol w:w="305"/>
        <w:gridCol w:w="752"/>
        <w:gridCol w:w="171"/>
        <w:gridCol w:w="109"/>
        <w:gridCol w:w="109"/>
        <w:gridCol w:w="109"/>
        <w:gridCol w:w="306"/>
        <w:gridCol w:w="636"/>
        <w:gridCol w:w="173"/>
        <w:gridCol w:w="109"/>
        <w:gridCol w:w="109"/>
        <w:gridCol w:w="109"/>
        <w:gridCol w:w="196"/>
        <w:gridCol w:w="466"/>
        <w:gridCol w:w="159"/>
      </w:tblGrid>
      <w:tr>
        <w:trPr/>
        <w:tc>
          <w:tcPr>
            <w:tcW w:w="1085"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 June 30, 2026</w:t>
            </w:r>
          </w:p>
        </w:tc>
      </w:tr>
      <w:tr>
        <w:trPr/>
        <w:tc>
          <w:tcPr>
            <w:tcW w:w="2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Infrastructure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Life Sciences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Spectrum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Non-Operating 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Other and 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INNOVATE</w:t>
            </w:r>
          </w:p>
        </w:tc>
      </w:tr>
      <w:tr>
        <w:trPr/>
        <w:tc>
          <w:tcPr>
            <w:tcW w:w="2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r>
      <w:tr>
        <w:trPr/>
        <w:tc>
          <w:tcPr>
            <w:tcW w:w="2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r>
      <w:tr>
        <w:trPr/>
        <w:tc>
          <w:tcPr>
            <w:tcW w:w="2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attributable to INNOVATE 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Adjustments to reconcile net income (loss) to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 (included in 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r>
      <w:tr>
        <w:trPr/>
        <w:tc>
          <w:tcPr>
            <w:tcW w:w="2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r>
      <w:tr>
        <w:trPr/>
        <w:tc>
          <w:tcPr>
            <w:tcW w:w="2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r>
      <w:tr>
        <w:trPr/>
        <w:tc>
          <w:tcPr>
            <w:tcW w:w="2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r>
      <w:tr>
        <w:trPr/>
        <w:tc>
          <w:tcPr>
            <w:tcW w:w="2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r>
      <w:tr>
        <w:trPr/>
        <w:tc>
          <w:tcPr>
            <w:tcW w:w="2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r>
      <w:tr>
        <w:trPr/>
        <w:tc>
          <w:tcPr>
            <w:tcW w:w="2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r>
      <w:tr>
        <w:trPr/>
        <w:tc>
          <w:tcPr>
            <w:tcW w:w="2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r>
      <w:tr>
        <w:trPr/>
        <w:tc>
          <w:tcPr>
            <w:tcW w:w="2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r>
      <w:tr>
        <w:trPr/>
        <w:tc>
          <w:tcPr>
            <w:tcW w:w="2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r>
      <w:tr>
        <w:trPr/>
        <w:tc>
          <w:tcPr>
            <w:tcW w:w="2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Realignment and exit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Facility commissioning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refinancing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and disposition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71.7 </w:t>
            </w:r>
          </w:p>
        </w:tc>
        <w:tc>
          <w:tcPr>
            <w:tcW w:w="1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11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17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66.0 </w:t>
            </w:r>
          </w:p>
        </w:tc>
        <w:tc>
          <w:tcPr>
            <w:tcW w:w="15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r>
      <w:tr>
        <w:trPr/>
        <w:tc>
          <w:tcPr>
            <w:tcW w:w="2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035"/>
        <w:gridCol w:w="774"/>
        <w:gridCol w:w="778"/>
        <w:gridCol w:w="109"/>
        <w:gridCol w:w="109"/>
        <w:gridCol w:w="109"/>
        <w:gridCol w:w="225"/>
        <w:gridCol w:w="535"/>
        <w:gridCol w:w="126"/>
        <w:gridCol w:w="109"/>
        <w:gridCol w:w="109"/>
        <w:gridCol w:w="109"/>
        <w:gridCol w:w="196"/>
        <w:gridCol w:w="507"/>
        <w:gridCol w:w="109"/>
        <w:gridCol w:w="109"/>
        <w:gridCol w:w="109"/>
        <w:gridCol w:w="109"/>
        <w:gridCol w:w="196"/>
        <w:gridCol w:w="504"/>
        <w:gridCol w:w="109"/>
        <w:gridCol w:w="109"/>
        <w:gridCol w:w="109"/>
        <w:gridCol w:w="109"/>
        <w:gridCol w:w="298"/>
        <w:gridCol w:w="734"/>
        <w:gridCol w:w="167"/>
        <w:gridCol w:w="109"/>
        <w:gridCol w:w="109"/>
        <w:gridCol w:w="109"/>
        <w:gridCol w:w="298"/>
        <w:gridCol w:w="621"/>
        <w:gridCol w:w="168"/>
        <w:gridCol w:w="109"/>
        <w:gridCol w:w="109"/>
        <w:gridCol w:w="109"/>
        <w:gridCol w:w="196"/>
        <w:gridCol w:w="504"/>
        <w:gridCol w:w="163"/>
      </w:tblGrid>
      <w:tr>
        <w:trPr/>
        <w:tc>
          <w:tcPr>
            <w:tcW w:w="1035"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 June 30, 2025</w:t>
            </w:r>
          </w:p>
        </w:tc>
      </w:tr>
      <w:tr>
        <w:trPr/>
        <w:tc>
          <w:tcPr>
            <w:tcW w:w="2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Infrastructure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Life Sciences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Spectrum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Non-Operating 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Other and 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INNOVATE</w:t>
            </w:r>
          </w:p>
        </w:tc>
      </w:tr>
      <w:tr>
        <w:trPr/>
        <w:tc>
          <w:tcPr>
            <w:tcW w:w="2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attributable to INNOVATE 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Adjustments to reconcile net income (loss) to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 (included in 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operating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Realignment and exit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36.0 </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w:t>
            </w:r>
          </w:p>
        </w:tc>
        <w:tc>
          <w:tcPr>
            <w:tcW w:w="1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22.9 </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0" w:name="q22026earningswebcastvff.htm"/>
      <w:bookmarkStart w:id="1" w:name="ksq22026earningswebcastvff"/>
      <w:bookmarkEnd w:id="0"/>
      <w:bookmarkEnd w:id="1"/>
      <w:r>
        <w:rPr/>
        <w:drawing>
          <wp:inline distT="0" distB="0" distL="0" distR="0">
            <wp:extent cx="9753600" cy="5486400"/>
            <wp:effectExtent l="0" t="0" r="0" b="0"/>
            <wp:docPr id="1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17"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jc w:val="center"/>
        <w:rPr>
          <w:color w:val="FFFFFF"/>
          <w:sz w:val="2"/>
        </w:rPr>
      </w:pPr>
      <w:r>
        <w:rPr>
          <w:color w:val="FFFFFF"/>
          <w:sz w:val="2"/>
        </w:rPr>
        <w:t xml:space="preserve">INNOVATE Corp. 2026 INNOVATE Corp. Q2 2026 Earnings Release Supplement August 6,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INNOVATE Corp. 2026 Safe Harbor Disclaimers 2 Cautionary Statement Regarding Forward-Looking Statements Safe Harbor Statement under the Private Securities Litigation Reform Act of 1995: This presentation contains, and certain oral statements made by our representatives from time to time may contain, "forward-looking statements." Generally, forward-looking statements include information describing actions, events, results, strategies and expectations and are generally identifiable by use of the words “believes,” “expects,” “intends,” “anticipates,” “plans,” “seeks,” “estimates,” “projects,” “may,” “will,” “could,” “might,” or “continues” or similar expressions. Such forward-looking statements are based on current expectations and inherently involve certain risks, assumptions and uncertainties. The forward-looking statements in this presentation include, without limitation, any statements regarding INNOVATE’s plans and expectations for future growth and ability to capitalize on potential opportunities, the achievement of INNOVATE’s strategic objectives, expectations for performance of new projects and realization of revenue from the backlog at DBMG and the Infrastructure segment, anticipated success from the continued sale of new products in the Life Sciences segment, expectations for advertising revenue growth, new technologies, networks and stations, and potential commercial opportunities in datacasting in the Spectrum segment. Such statements are based on the beliefs and assumptions of INNOVATE’s management and the management of INNOVATE’s subsidiaries and portfolio companies. The Company believes these judgments are reasonable, but these statements are not guarantees of performance, results or the creation of stockholder value and the Company’s actual results could differ materially from those expressed or implied in the forward-looking statements due to a variety of important factors, both positive and negative, including those that may be identified in subsequent statements and reports filed with the Securities and Exchange Commission (“SEC”), including in our reports on Forms 10-K, 10-Q, and 8-K. Such important factors include, without limitation: our dependence on distributions from our subsidiaries to fund our operations and payments on our obligations; substantial doubt about our ability to continue operating as a going concern; our expectations and timing with respect to any strategic dispositions and sales of our operating subsidiaries, or businesses, including, without limitation, the sales of DBMG and Broadcasting; obtaining FCC regulatory approval for the Broadcasting merger; the possibility of indemnification claims arising out of divestitures of businesses; the impact on our business and financial condition of our substantial indebtedness and any significant additional indebtedness and other financing obligations we may incur; our possible inability to raise additional capital when needed or refinance our existing debt, on attractive terms, or at all; our anticipated business profile following the highly substantial asset dispositions we are pursuing, including the potential absence of material operating revenue and uncertainty regarding the nature of any future operations; our dependence on the retaining and recruitment of key personnel; volatility in the trading price of our common stock; the impact of potential supply chain disruptions, labor shortages and increases in overall price levels, including in steel and transportation costs; interest rate environment; developments relating to the hostilities in Ukraine, the Middle East and Venezuela; increased competition in the markets in which our operating segments conduct their businesses; our ability to successfully identify any strategic acquisitions or business opportunities; uncertain global economic conditions in the markets in which our operating segments conduct their businesses; changes in regulations and tax laws; covenant noncompliance risk; tax consequences associated with our acquisitions, holding and disposition of target companies and assets; the ability of our operating segments to attract and retain customers; and our expectations regarding the timing, extent and effectiveness of any cost reduction initiatives and management’s ability to moderate or control discretionary spending. Although INNOVATE believes its expectations and assumptions regarding its future operating performance are reasonable, there can be no assurance that the expectations reflected herein will be achieved. These risks and other important factors discussed under the caption “Risk Factors” in our most recent Annual Report on Form 10-K filed with the SEC, and our other reports filed with the SEC could cause actual results to differ materially from those indicated by the forward-looking statements made in this presentation. You should not place undue reliance on forward-looking statements. All forward-looking statements attributable to INNOVATE or persons acting on its behalf are expressly qualified in their entirety by the foregoing cautionary statements. All such statements speak only as of the date made, and unless legally required, INNOVATE undertakes no obligation to update or revise publicly any forward-looking statements, whether as a result of new information, future events or otherwise.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INNOVATE Corp. 2026 Safe Harbor Disclaimers 3 Non-GAAP Financial Measures In this earnings release supplement, INNOVATE refers to certain financial measures that are not presented in accordance with U.S. generally accepted accounting principles (“U.S. GAAP”), including Total Adjusted EBITDA (excluding discontinued operations, if applicable) and Adjusted EBITDA for its operating segments. In addition, other companies may define Adjusted EBITDA differently than we do, which could limit its usefulness. Adjusted EBITDA Management believes that Adjusted EBITDA provides investors with meaningful information for gaining an understanding of our results as it is frequently used by the financial community to provide insight into an organization’s operating trends and facilitates comparisons between peer companies, since interest, taxes, depreciation, amortization and the other items listed in the definition of Adjusted EBITDA below can differ greatly between organizations as a result of differing capital structures and tax strategies. Adjusted EBITDA can also be a useful measure of a company’s ability to service debt. While management believes that non-U.S. GAAP measurements are useful supplemental information, such adjusted results are not intended to replace our U.S. GAAP financial results. Using Adjusted EBITDA as a performance measure has inherent limitations as an analytical tool as compared to net income (loss) or other U.S. GAAP financial measures, as this non-U.S. GAAP measure excludes certain items, including items that are recurring in nature, which may be meaningful to investors. As a result of the exclusions, Adjusted EBITDA should not be considered in isolation and does not purport to be an alternative to net income (loss) or other U.S. GAAP financial measures as a measure of our operating performance. The calculation of Adjusted EBITDA, as defined by us, consists of Net income (loss) attributable to INNOVATE Corp., excluding: discontinued operations, if applicable; depreciation and amortization; other operating (income) loss (which is inclusive of (gain) loss on sale or disposal of assets, lease termination costs, (gains) losses on lease modifications, and asset impairment expense); interest expense; (gain) loss on extinguishment of debt; other (income) expense, net; income tax expense (benefit); non-controlling interests; share-based compensation expense; realignment and exit costs; facility commissioning costs; debt refinancing costs and acquisition and disposition costs. Third Party Sources Third party information presented in this earnings release supplement is based on sources we believe to be reliable; however, there can be no assurance information so presented will prove accurate in whole or in part.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INNOVATE Corp. 2026 Second Quarter 2026 &amp; Recent Highlights 4 DBMG</w:t>
        <w:tab/>
        <w:t>delivered</w:t>
        <w:tab/>
        <w:t>record</w:t>
        <w:tab/>
        <w:t>results</w:t>
        <w:tab/>
        <w:t>in</w:t>
        <w:tab/>
        <w:t>the</w:t>
        <w:tab/>
        <w:t>second</w:t>
        <w:tab/>
        <w:t>quarter;</w:t>
        <w:tab/>
        <w:t>MediBeacon</w:t>
        <w:tab/>
        <w:t>continued</w:t>
        <w:tab/>
        <w:t>to</w:t>
        <w:tab/>
        <w:t>build</w:t>
        <w:tab/>
        <w:t xml:space="preserve"> commercial</w:t>
        <w:tab/>
        <w:t>momentum;</w:t>
        <w:tab/>
        <w:t>R2</w:t>
        <w:tab/>
        <w:t>continued</w:t>
        <w:tab/>
        <w:t>to</w:t>
        <w:tab/>
        <w:t>demonstrate</w:t>
        <w:tab/>
        <w:t>strong</w:t>
        <w:tab/>
        <w:t>global</w:t>
        <w:tab/>
        <w:t>demand;</w:t>
        <w:tab/>
        <w:t xml:space="preserve"> Spectrum</w:t>
        <w:tab/>
        <w:t>successful</w:t>
        <w:tab/>
        <w:t>closing</w:t>
        <w:tab/>
        <w:t>of</w:t>
        <w:tab/>
        <w:t>Broadcasting</w:t>
        <w:tab/>
        <w:t>refinancing</w:t>
        <w:tab/>
        <w:t>and</w:t>
        <w:tab/>
        <w:t>INNOVATE</w:t>
        <w:tab/>
        <w:t>agreed</w:t>
        <w:tab/>
        <w:t>to</w:t>
        <w:tab/>
        <w:t xml:space="preserve"> partial</w:t>
        <w:tab/>
        <w:t>sale</w:t>
        <w:tab/>
        <w:t>of</w:t>
        <w:tab/>
        <w:t xml:space="preserve">Broadcasting ■ DBM Global Inc.'s ("DBMG") delivered record results in the second quarter with year-over-year revenue growth of ~78%. ■ MediBeacon continued targeted introduction of TGFR system at centers of excellence in the U.S. and China. ■ R2 Technologies, Inc. ("R2") reported second quarter 2026 revenue of $2.2 million. Demand for the second quarter reached $3.6 million, with backlog at approximately 110 systems globally at the end of the quarter. ■ As previously announced, HC2 Broadcasting Holdings Inc. ("Broadcasting") closed on a refinancing transaction, and INNOVATE, through Broadcasting and HC2 Broadcasting Holdco, LLC, entered into a definitive agreement to sell a controlling interest in Broadcasting to CONX Corp. ("CONX"), subject to customary closing conditions and required regulatory approvals, with CONX expected to own approximately 75% and INNOVATE approximately 25% of Broadcasting following closing.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INNOVATE Corp. 2026 ■ MediBeacon continued to build commercial momentum in the United States. ■ MediBeacon is now actively engaged with over 100 healthcare institutions who have expressed interest in the TGFR System. ■ Reported 2Q26 revenue of $2.2M. ■ Demand for R2's technology continues to grow across international markets. ■ Backlog of ~110 systems globally. ■ Delivered record results in the second quarter with year-over-year revenue growth of ~78%. ■ Reported backlog of $1.9B and total adjusted backlog(1) of $2.7B. ■ Solid backlog visibility supporting the 2026 plan and underpins confidence into 2027. ■ Year-to-date revenue of $771.9M. Segment Highlights Infrastructure Highlights Life Sciences Highlights Spectrum Highlights 5(1) Adjusted backlog takes into consideration awarded, but not yet signed contracts. ■ Successful closing of Broadcasting refinancing and INNOVATE agrees to partial sale of Broadcasting.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INNOVATE Corp. 2026 Consolidated Q2 Results ■ Revenue increased $179.6M or 74.2% driven primarily by our Infrastructure segment, which was partially offset by decreases at our Life Sciences and Spectrum segments. The increase at our Infrastructure segment was primarily driven by the timing and size of projects at DBMG's commercial structural steel fabrication and erection business, which had increased activity subsequent to the comparable period on certain large construction projects, combined with changes in the estimate of the cost to complete those projects recognized in the ordinary course driven by efficiencies recognized around certain projects, which was partially offset by a decrease at the industrial maintenance and repair business due to the timing and size of projects, which had increased activity in the comparable period on certain large construction projects that have since been completed. The decrease at our Life Sciences segment was attributable to R2, primarily driven by decreases in Glacial system unit sales due to liquidity constraints. The decrease at our Spectrum segment was primarily driven by the termination of a few networks and individual markets subsequent to the comparable period, partially offset by the launch of new networks. ■ Net income attributable to INNOVATE Corp. of $10.7M ■ Adjusted EBITDA(2) increased by $30.6M to $46.3M primarily driven by our Infrastructure and Life Sciences segments, which was partially offset by a decrease at our Spectrum segment. Infrastructure ■ Net Income of $26.4M(1) ■ Adjusted EBITDA(2) up $29.4M over the prior year quarter primarily driven by an increase in revenue and gross profit at DBMG's commercial structural steel fabrication and erection business, which had increased activity subsequent to the comparable period on certain large construction projects, combined with changes in the estimate of the cost to complete those projects recognized in the ordinary course driven by efficiencies recognized around certain projects, and, to a lesser extent, by an increase in revenue and gross profit at the construction modeling and detailing business. The increase was partially offset by a an increase in recurring SG&amp;A expenses, primarily driven by the timing of compensation-related expenses and a decrease in revenue and gross profit at our industrial maintenance and repair business due to timing of certain large construction projects in the comparable period that have since been completed. ■ Reported backlog and adjusted(3) backlog of $1.9B and $2.7B, respectively, compared to reported backlog and adjusted(3) backlog of $1.7B and $1.8B, respectively, at December 31, 2025. Life Sciences ■ Revenue of $2.2M attributable to R2, which decreased $1.0M or 31.3%, primarily driven by decreases in Glacial fx unit sales in North America and Glacial Spa unit sales outside North America due to liquidity constraints. ■ Adjusted EBITDA(2) losses down $1.8M from the prior year quarter primarily driven by a reduction in compensation-related expenses at R2 and Pansend. Spectrum ■ Net income of $8.4M(1) ■ Adjusted EBITDA(2) decreased by $0.6M from the prior year quarter, primarily driven by the termination of a few networks and individual markets subsequent to the comparable period, which was partially offset by the launch of new networks. Non-Operating Corporate ■ Adjusted EBITDA(2) losses remained consistent year-over-year at $2.0M. Q2 2026 QTD Financial Highlights Revenue ($ millions) 2Q26 2Q25 Infrastructure $ 414.0 $ 233.1 Life Sciences 2.2 3.2 Spectrum 5.4 5.7 Consolidated INNOVATE $ 421.6 $ 242.0 Net income (loss) Attrib. to INNOVATE Corp. &amp; Adjusted EBITDA 2Q26 2Q25 ($ millions) NI(1) Adjusted EBITDA(2) NI(1) Adjusted EBITDA(2) Infrastructure $ 26.4 $ 48.7 $ 5.5 $ 19.3 Life Sciences (2.3) (0.8) (6.5) (2.6) Spectrum 8.4 0.4 (6.1) 1.0 Non-Operating Corporate (21.8) (2.0) (12.7) (2.0) Other &amp; Eliminations — — — — Consolidated INNOVATE $ 10.7 $ 46.3 $ (19.8) $ 15.7 (1) Net income (loss) attributable to INNOVATE Corp. (2) See Appendix for reconciliation of Non-GAAP to U.S. GAAP. (3) Adjusted backlog takes into consideration awarded, but not yet signed contracts. 6 Second Quarter Consolidated Revenue and Adjusted EBITDA(2) of $421.6 million and $46.3 million, respectively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INNOVATE Corp. 2026 ■ 77.6% revenue increase primarily driven by the timing and size of projects at DBMG's commercial structural steel fabrication and erection business, which had increased activity subsequent to the comparable period on certain large construction projects, combined with changes in the estimate of the cost to complete those projects recognized in the ordinary course driven by efficiencies recognized around certain projects, and to a lesser extent, at the construction modeling and detailing business and the new modular business. The increases were partially offset by a decrease at the industrial maintenance and repair business due to the timing and size of projects, which had increased activity in the comparable period on certain large construction projects that have since been completed. ■ Adjusted EBITDA(2) increase was primarily driven by an increase in revenue and gross profit at DBMG's commercial structural steel fabrication and erection business, which had increased activity subsequent to the comparable period on certain large construction projects, combined with changes in the estimate of the cost to complete those projects recognized in the ordinary course driven by efficiencies recognized around certain projects, and, to a lesser extent, by an increase in revenue and gross profit at the construction modeling and detailing business. The increase was partially offset by an increase in recurring SG&amp;A expenses, primarily driven by the timing of compensation- related expenses and a decrease in revenue and gross profit at our industrial maintenance and repair business due to timing of certain large construction projects in the comparable period that have since been completed. ■ Reported backlog and adjusted backlog, which takes into consideration awarded but not yet signed contracts, of $1.9B and $2.7B, respectively. Financials ($ millions) 2Q26 2Q25 Revenue $ 414.0 $ 233.1 Net Income(1) $ 26.4 $ 5.5 Adjusted EBITDA (2) $ 48.7 $ 19.3 (1) Net income attributable to INNOVATE Corp. (2) See Appendix for reconciliation of Non-GAAP to U.S. GAAP. (3) Adjusted backlog takes into consideration awarded, but not yet signed contracts. All data as of June 30, 2026 unless otherwise noted. Segment Highlights - Infrastructure DBM Global ("DBMG") 7 $1,254.4 $1,548.4 $1,723.9 $1,585.6 $1,901.0 Backlog Adjusted Backlog 2Q25 3Q25 4Q25 1Q26 2Q26 1,000 2,000 3,000 ~$2,659.2 Trending Backlog Overview Near-Term Focus ($ millions) ■ Convert backlog to revenue through disciplined project execution while selectively pursuing high-quality opportunities. ■ Capitalize on a strong pipeline and favorable end-market demand to drive backlog expansion and strengthen visibility into 2027 and 2028.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INNOVATE Corp. 2026 ■ Continued to build commercial momentum in the United States. MediBeacon is now actively engaged with over 100 healthcare institutions who have expressed interest in the TGFR System. ■ Poised to begin clinical studies of the third generation wireless TGFR Sensor under IDE approval. MediBeacon targets a pivotal study in 2027. The wireless wearable third generation product is anticipated to further expand the market for kidney function assessment in the outpatient setting. ■ R2 reported second quarter 2026 revenue of $2.2 million. ■ R2's demand for the second quarter reached $3.6 million, with backlog increasing to nearly 110 systems globally at the end of the quarter. ■ Subsequent to quarter end, R2 extended the maturity of its secured promissory note with Lancer Capital from August 1, 2026 to December 31, 2026, and R2’s preferred equity was converted to common equity, simplifying its capital structure. MediBeaconR2 Technologies, Inc. ("R2") (1) Investment-to-date totals and equity ownership percentages are as of June 30, 2026. (2) Pansend's ownership percentage in R2 does not take into account the July 28, 2026 conversion of preferred equity to common equity, following which Pansend's ownership percentage increased to 85.0%. Company Investment to Date Equity % Fully Diluted % R2 Technologies(2) $72.3M 80.8% 73.0% MediBeacon $38.0M 44.6% 39.4% Genovel $4.2M 80.0% 75.2% Triple Ring $0.9M 7.2% 1.6% Scaled Cell Solutions $0.9M 20.1% 20.1% 8 Segment Highlights - Life Sciences Pansend Life Sciences ("Pansend") Summary of Investments(1) $3.0 $4.1 $3.1 $3.2 $3.1 $3.1 $1.6 $2.2 3Q24 4Q24 1Q25 2Q25 3Q25 4Q25 1Q26 2Q26 R2 Trending Revenue ($ millions)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INNOVATE Corp. 2026 Financials ($ millions) 2Q26 2Q25 Revenue $ 5.4 $ 5.7 Net Income (Loss)(1) $ 8.4 $ (6.1) Adjusted EBITDA (2) $ 0.4 $ 1.0 9 Segment Highlights - Spectrum HC2 Broadcasting ("Broadcasting") Overview (1) Net Income (Loss) attributable to INNOVATE Corp. (2) See Appendix for reconciliation of Non-GAAP to U.S. GAAP. Operating Stations Mix 2Q26 Low Power Television ("LPTV") 206 Class A stations 53 Full-Power stations 3 Total Operating Stations 262 Approximate MHz POPs 2.7 Billion ■ Broadcasting entered into a $105 million loan agreement (the “New Loan”) with HC2 Merger Sub, LLC, a subsidiary of CONX (“Merger Sub”). The proceeds of the New Loan were used to fully satisfy Broadcasting’s existing 8.50% and 11.45% notes, to fund the repurchase of certain equity interests held by Broadcasting’s note holders, and to pay related transaction costs. The New Loan and interest accrued thereon are expected to be extinguished as consideration in the merger and will not require cash repayment upon closing of the merger. The New Loan matures on May 29, 2027, subject to earlier acceleration in accordance with its terms. ■ INNOVATE has entered into a merger agreement pursuant to which Merger Sub will merge with and into Broadcasting, with Broadcasting as the surviving corporation. As a result of the merger, after the closing it is expected that CONX will own approximately 75% of Broadcasting and INNOVATE will own approximately 25% of Broadcasting through HC2 Holdco.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INNOVATE Corp. 2026 (1) Debt Maturity Profile excludes held for sale liabilities, Preferred Stock and operating leases. Debt Maturity profile does not reflect the August 3, 2026 PIK interest. (2) Debt Amortization and Maturity Profile chart presents debt annual amortization and maturity payments, excluding exit fees and interest payments. (3) Excludes held for sale cash and cash equivalents and restricted cash. Debt Summary(1) ($ millions) Maturity Jun-26 Dec-25 10.50% Senior Secured Notes 2027 $ 379.3 $ 360.4 9.50% Convertible Senior Notes 2027 56.0 53.5 CGIC Promissory Note 2027 49.7 45.9 Revolving Line of Credit 2026 20.0 20.0 8.50% Senior Secured Notes 2026 — 1.9 7.50% Convertible Senior Notes 2026 0.2 0.2 Infrastructure Debt 2030 70.3 87.7 Life Sciences Debt 2026 50.9 47.9 Total Principal Outstanding $ 626.4 $ 617.5 Unamortized OID and DFC (10.4) (18.6) Total Debt $ 616.0 $ 598.9 Cash &amp; Cash Equivalents(3) 87.8 108.2 Net Debt $ 528.2 $ 490.7 Current Credit Picture 10 Debt Amortization and Maturity Profile $74.3 $491.4 $5.8 $6.4 $48.5 Holdco Infrastructure Life Sciences 2026 2027 2028 2029 2030 $— $100.0 $200.0 $300.0 $400.0 $500.0 $600.0 ($ millions)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INNOVATE Corp. 2026 Appendix Select GAAP Financials &amp; Non-GAAP Reconciliations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INNOVATE Corp. 2026 INNOVATE Selected GAAP Financials Income Statement - Unaudited (in millions) Three Months Ended June 30, Six Months Ended June 30, 2026 2025 2026 2025 Revenue $ 421.6 $ 242.0 $ 786.4 $ 516.2 Cost of revenue 342.1 196.4 653.4 425.1 Gross profit 79.5 45.6 133.0 91.1 Operating expenses: Selling, general and administrative 41.5 35.1 80.9 72.9 Depreciation and amortization 3.5 4.4 7.7 8.8 Other operating loss (income) — 1.2 (0.1) 1.1 Income from operations 34.5 4.9 44.5 8.3 Other (expense) income: Interest expense (27.6) (21.4) (52.1) (41.6) Gain (loss) on extinguishment of debt 18.4 (0.3) 18.4 (0.3) Loss from equity investees — — — (5.9) Other income, net 0.2 — 0.5 4.0 Income (loss) from operations before income taxes 25.5 (16.8) 11.3 (35.5) Income tax expense (13.1) (4.2) (16.0) (11.3) Net income (loss) 12.4 (21.0) (4.7) (46.8) Net (income) loss attributable to non-controlling interests and redeemable non-controlling interests (1.7) 1.2 (1.4) 2.5 Net income (loss) attributable to INNOVATE Corp. 10.7 (19.8) (6.1) (44.3) Less: Preferred stock dividends 0.3 2.2 0.7 2.5 Net income (loss) attributable to common stockholders and participating preferred stockholders $ 10.4 $ (22.0) $ (6.8) $ (46.8)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INNOVATE Corp. 2026 Reconciliation of U.S. GAAP Income (Loss) to Adjusted EBITDA 13 (in millions) Three Months Ended June 30, 2026 Infrastructure Life Sciences Spectrum Non-Operating Corporate Other and Eliminations INNOVATE Net income (loss) attributable to INNOVATE Corp. $ 26.4 $ (2.3) $ 8.4 $ (21.8) $ — $ 10.7 Adjustments to reconcile net income (loss) to Adjusted EBITDA: Depreciation and amortization 2.8 — 0.7 — — 3.5 Depreciation and amortization (included in cost of revenue) 3.5 — — — — 3.5 Interest expense 1.4 2.1 6.8 17.3 — 27.6 Gain on extinguishment of debt — — (18.4) — — (18.4) Other (income) expense, net (1.8) — 1.9 (0.3) — (0.2) Income tax expense 11.1 — — 2.0 — 13.1 Non-controlling interests 2.5 (0.6) (0.2) — — 1.7 Share-based compensation expense — — — 0.4 — 0.4 Realignment and exit costs 0.2 — — — — 0.2 Facility commissioning costs 2.4 — — — — 2.4 Debt refinancing costs — — — 0.2 — 0.2 Acquisition and disposition costs 0.2 — 1.2 0.2 — 1.6 Adjusted EBITDA $ 48.7 $ (0.8) $ 0.4 $ (2.0) $ — $ 46.3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INNOVATE Corp. 2026 Reconciliation of U.S. GAAP Income (Loss) to Adjusted EBITDA 14 (in millions) Six Months Ended June 30, 2026 Infrastructure Life Sciences Spectrum Non-Operating Corporate Other and Eliminations INNOVATE Net income (loss) attributable to INNOVATE Corp. $ 35.7 $ (5.6) $ 1.9 $ (38.1) $ — $ (6.1) Adjustments to reconcile net income (loss) to Adjusted EBITDA: Depreciation and amortization 5.7 0.1 1.9 — — 7.7 Depreciation and amortization (included in cost of revenue) 6.7 — — — — 6.7 Other operating income — — (0.1) — — (0.1) Interest expense 3.2 4.0 10.8 34.1 — 52.1 Gain on extinguishment of debt — — (18.4) — — (18.4) Other (income) expense, net (1.9) — 4.4 (3.0) — (0.5) Income tax expense 15.2 — — 0.8 — 16.0 Non-controlling interests 3.4 (1.4) (0.6) — — 1.4 Share-based compensation expense — 0.1 — 0.9 — 1.0 Realignment and exit costs 0.5 — — — — 0.5 Facility commissioning costs 3.0 — — — — 3.0 Debt refinancing costs — — — 0.2 — 0.2 Acquisition and disposition costs 0.2 — 1.2 1.1 — 2.5 Adjusted EBITDA $ 71.7 $ (2.8) $ 1.1 $ (4.0) $ — $ 66.0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INNOVATE Corp. 2026 Reconciliation of U.S. GAAP Income (Loss) to Adjusted EBITDA 15 (in millions) Three Months Ended June 30, 2025 Infrastructure Life Sciences Spectrum Non-Operating Corporate Other and Eliminations INNOVATE Net income (loss) attributable to INNOVATE Corp. $ 5.5 $ (6.5) $ (6.1) $ (12.7) $ — $ (19.8) Adjustments to reconcile net income (loss) to Adjusted EBITDA: Depreciation and amortization 3.1 0.1 1.2 — — 4.4 Depreciation and amortization (included in cost of revenue) 3.0 — — — — 3.0 Other operating loss 1.2 — — — — 1.2 Interest expense 2.4 5.2 3.9 9.9 — 21.4 Loss on extinguishment of debt 0.3 — — — — 0.3 Other (income) expense, net (0.3) — 2.3 (2.0) — — Income tax expense 2.1 — — 2.1 — 4.2 Non-controlling interests 0.6 (1.4) (0.4) — — (1.2) Share-based compensation expense — — — 0.7 — 0.7 Realignment and exit costs 1.4 — 0.1 — — 1.5 Adjusted EBITDA $ 19.3 $ (2.6) $ 1.0 $ (2.0) $ — $ 15.7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INNOVATE Corp. 2026 Reconciliation of U.S. GAAP Income (Loss) to Adjusted EBITDA 16 (in millions) Six Months Ended June 30, 2025 Infrastructure Life Sciences Spectrum Non-Operating Corporate Other and Eliminations INNOVATE Net income (loss) attributable to INNOVATE Corp. $ 10.1 $ (14.1) $ (11.5) $ (28.8) $ — $ (44.3) Adjustments to reconcile net income (loss) to Adjusted EBITDA: Depreciation and amortization 6.2 0.2 2.4 — — 8.8 Depreciation and amortization (included in cost of revenue) 6.5 — — — — 6.5 Other operating loss 1.1 — — — — 1.1 Interest expense 4.5 9.7 7.6 19.8 — 41.6 Loss on extinguishment of debt 0.3 — — — — 0.3 Other (income) expense, net (0.6) (4.5) 4.5 (3.4) — (4.0) Income tax expense 4.4 — — 6.9 — 11.3 Non-controlling interests 1.0 (2.8) (0.7) — — (2.5) Share-based compensation expense — 0.2 — 1.3 — 1.5 Realignment and exit costs 2.5 — 0.1 — — 2.6 Adjusted EBITDA $ 36.0 $ (11.3) $ 2.4 $ (4.2) $ — $ 22.9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9352</Words>
  <Characters>53492</Characters>
  <CharactersWithSpaces>62612</CharactersWithSpaces>
  <Paragraphs>1209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q22026earningswebcastvff</dc:title>
</cp:coreProperties>
</file>