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193675</wp:posOffset>
            </wp:positionH>
            <wp:positionV relativeFrom="page">
              <wp:posOffset>668020</wp:posOffset>
            </wp:positionV>
            <wp:extent cx="7161530" cy="133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13335"/>
                    </a:xfrm>
                    <a:prstGeom prst="rect">
                      <a:avLst/>
                    </a:prstGeom>
                    <a:noFill/>
                  </pic:spPr>
                </pic:pic>
              </a:graphicData>
            </a:graphic>
          </wp:anchor>
        </w:drawing>
        <w:t>UNITED STATES</w:t>
      </w:r>
    </w:p>
    <w:p>
      <w:pPr>
        <w:spacing w:after="0" w:line="19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SECURITIES AND EXCHANGE COMMISSION</w:t>
      </w:r>
    </w:p>
    <w:p>
      <w:pPr>
        <w:spacing w:after="0" w:line="20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19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1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CURRENT REPORT</w:t>
      </w:r>
    </w:p>
    <w:p>
      <w:pPr>
        <w:spacing w:after="0" w:line="2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Pursuant to Section 13 or 15(d) of the Securities Exchange Act of 1934</w:t>
      </w:r>
    </w:p>
    <w:p>
      <w:pPr>
        <w:spacing w:after="0" w:line="213"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4400" w:type="dxa"/>
            <w:vAlign w:val="bottom"/>
            <w:gridSpan w:val="3"/>
          </w:tcPr>
          <w:p>
            <w:pPr>
              <w:ind w:left="1420"/>
              <w:spacing w:after="0"/>
              <w:rPr>
                <w:sz w:val="20"/>
                <w:szCs w:val="20"/>
                <w:color w:val="auto"/>
              </w:rPr>
            </w:pPr>
            <w:r>
              <w:rPr>
                <w:rFonts w:ascii="Times New Roman" w:cs="Times New Roman" w:eastAsia="Times New Roman" w:hAnsi="Times New Roman"/>
                <w:sz w:val="14"/>
                <w:szCs w:val="14"/>
                <w:color w:val="auto"/>
              </w:rPr>
              <w:t>Date of Report (Date of Earliest Event Reported):</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720" w:type="dxa"/>
            <w:vAlign w:val="bottom"/>
            <w:gridSpan w:val="3"/>
          </w:tcPr>
          <w:p>
            <w:pPr>
              <w:ind w:left="480"/>
              <w:spacing w:after="0"/>
              <w:rPr>
                <w:sz w:val="20"/>
                <w:szCs w:val="20"/>
                <w:color w:val="auto"/>
              </w:rPr>
            </w:pPr>
            <w:r>
              <w:rPr>
                <w:rFonts w:ascii="Times New Roman" w:cs="Times New Roman" w:eastAsia="Times New Roman" w:hAnsi="Times New Roman"/>
                <w:sz w:val="16"/>
                <w:szCs w:val="16"/>
                <w:color w:val="auto"/>
              </w:rPr>
              <w:t>May 29, 2026</w:t>
            </w:r>
          </w:p>
        </w:tc>
      </w:tr>
      <w:tr>
        <w:trPr>
          <w:trHeight w:val="582"/>
        </w:trPr>
        <w:tc>
          <w:tcPr>
            <w:tcW w:w="1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160" w:type="dxa"/>
            <w:vAlign w:val="bottom"/>
            <w:gridSpan w:val="5"/>
          </w:tcPr>
          <w:p>
            <w:pPr>
              <w:jc w:val="center"/>
              <w:ind w:right="660"/>
              <w:spacing w:after="0"/>
              <w:rPr>
                <w:sz w:val="20"/>
                <w:szCs w:val="20"/>
                <w:color w:val="auto"/>
              </w:rPr>
            </w:pPr>
            <w:r>
              <w:rPr>
                <w:rFonts w:ascii="Times New Roman" w:cs="Times New Roman" w:eastAsia="Times New Roman" w:hAnsi="Times New Roman"/>
                <w:sz w:val="25"/>
                <w:szCs w:val="25"/>
                <w:b w:val="1"/>
                <w:bCs w:val="1"/>
                <w:color w:val="auto"/>
                <w:w w:val="98"/>
              </w:rPr>
              <w:t>INNOVATE CORP.</w:t>
            </w:r>
          </w:p>
        </w:tc>
        <w:tc>
          <w:tcPr>
            <w:tcW w:w="1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22"/>
        </w:trPr>
        <w:tc>
          <w:tcPr>
            <w:tcW w:w="15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gridSpan w:val="2"/>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r>
      <w:tr>
        <w:trPr>
          <w:trHeight w:val="244"/>
        </w:trPr>
        <w:tc>
          <w:tcPr>
            <w:tcW w:w="15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440" w:type="dxa"/>
            <w:vAlign w:val="bottom"/>
            <w:gridSpan w:val="6"/>
          </w:tcPr>
          <w:p>
            <w:pPr>
              <w:jc w:val="center"/>
              <w:ind w:left="152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c>
          <w:tcPr>
            <w:tcW w:w="15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170"/>
        </w:trPr>
        <w:tc>
          <w:tcPr>
            <w:tcW w:w="1580" w:type="dxa"/>
            <w:vAlign w:val="bottom"/>
          </w:tcPr>
          <w:p>
            <w:pPr>
              <w:spacing w:after="0"/>
              <w:rPr>
                <w:sz w:val="14"/>
                <w:szCs w:val="14"/>
                <w:color w:val="auto"/>
              </w:rPr>
            </w:pPr>
          </w:p>
        </w:tc>
        <w:tc>
          <w:tcPr>
            <w:tcW w:w="2820" w:type="dxa"/>
            <w:vAlign w:val="bottom"/>
            <w:gridSpan w:val="2"/>
          </w:tcPr>
          <w:p>
            <w:pPr>
              <w:jc w:val="center"/>
              <w:ind w:right="2209"/>
              <w:spacing w:after="0"/>
              <w:rPr>
                <w:sz w:val="20"/>
                <w:szCs w:val="20"/>
                <w:color w:val="auto"/>
              </w:rPr>
            </w:pPr>
            <w:r>
              <w:rPr>
                <w:rFonts w:ascii="Times New Roman" w:cs="Times New Roman" w:eastAsia="Times New Roman" w:hAnsi="Times New Roman"/>
                <w:sz w:val="14"/>
                <w:szCs w:val="14"/>
                <w:color w:val="auto"/>
              </w:rPr>
              <w:t>Delaware</w:t>
            </w:r>
          </w:p>
        </w:tc>
        <w:tc>
          <w:tcPr>
            <w:tcW w:w="3160" w:type="dxa"/>
            <w:vAlign w:val="bottom"/>
            <w:gridSpan w:val="5"/>
          </w:tcPr>
          <w:p>
            <w:pPr>
              <w:jc w:val="center"/>
              <w:ind w:right="700"/>
              <w:spacing w:after="0"/>
              <w:rPr>
                <w:sz w:val="20"/>
                <w:szCs w:val="20"/>
                <w:color w:val="auto"/>
              </w:rPr>
            </w:pPr>
            <w:r>
              <w:rPr>
                <w:rFonts w:ascii="Times New Roman" w:cs="Times New Roman" w:eastAsia="Times New Roman" w:hAnsi="Times New Roman"/>
                <w:sz w:val="14"/>
                <w:szCs w:val="14"/>
                <w:color w:val="auto"/>
              </w:rPr>
              <w:t>001-35210</w:t>
            </w:r>
          </w:p>
        </w:tc>
        <w:tc>
          <w:tcPr>
            <w:tcW w:w="3720" w:type="dxa"/>
            <w:vAlign w:val="bottom"/>
            <w:gridSpan w:val="3"/>
          </w:tcPr>
          <w:p>
            <w:pPr>
              <w:jc w:val="right"/>
              <w:ind w:right="1520"/>
              <w:spacing w:after="0"/>
              <w:rPr>
                <w:sz w:val="20"/>
                <w:szCs w:val="20"/>
                <w:color w:val="auto"/>
              </w:rPr>
            </w:pPr>
            <w:r>
              <w:rPr>
                <w:rFonts w:ascii="Times New Roman" w:cs="Times New Roman" w:eastAsia="Times New Roman" w:hAnsi="Times New Roman"/>
                <w:sz w:val="14"/>
                <w:szCs w:val="14"/>
                <w:color w:val="auto"/>
              </w:rPr>
              <w:t>54-1708481</w:t>
            </w:r>
          </w:p>
        </w:tc>
      </w:tr>
      <w:tr>
        <w:trPr>
          <w:trHeight w:val="20"/>
        </w:trPr>
        <w:tc>
          <w:tcPr>
            <w:tcW w:w="15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2"/>
        </w:trPr>
        <w:tc>
          <w:tcPr>
            <w:tcW w:w="4400" w:type="dxa"/>
            <w:vAlign w:val="bottom"/>
            <w:gridSpan w:val="3"/>
          </w:tcPr>
          <w:p>
            <w:pPr>
              <w:jc w:val="center"/>
              <w:ind w:right="609"/>
              <w:spacing w:after="0"/>
              <w:rPr>
                <w:sz w:val="20"/>
                <w:szCs w:val="20"/>
                <w:color w:val="auto"/>
              </w:rPr>
            </w:pPr>
            <w:r>
              <w:rPr>
                <w:rFonts w:ascii="Times New Roman" w:cs="Times New Roman" w:eastAsia="Times New Roman" w:hAnsi="Times New Roman"/>
                <w:sz w:val="14"/>
                <w:szCs w:val="14"/>
                <w:color w:val="auto"/>
              </w:rPr>
              <w:t>(State or other jurisdiction of incorporation)</w:t>
            </w:r>
          </w:p>
        </w:tc>
        <w:tc>
          <w:tcPr>
            <w:tcW w:w="3160" w:type="dxa"/>
            <w:vAlign w:val="bottom"/>
            <w:gridSpan w:val="5"/>
          </w:tcPr>
          <w:p>
            <w:pPr>
              <w:jc w:val="center"/>
              <w:ind w:right="680"/>
              <w:spacing w:after="0"/>
              <w:rPr>
                <w:sz w:val="20"/>
                <w:szCs w:val="20"/>
                <w:color w:val="auto"/>
              </w:rPr>
            </w:pPr>
            <w:r>
              <w:rPr>
                <w:rFonts w:ascii="Times New Roman" w:cs="Times New Roman" w:eastAsia="Times New Roman" w:hAnsi="Times New Roman"/>
                <w:sz w:val="14"/>
                <w:szCs w:val="14"/>
                <w:color w:val="auto"/>
              </w:rPr>
              <w:t>(Commission File Number)</w:t>
            </w:r>
          </w:p>
        </w:tc>
        <w:tc>
          <w:tcPr>
            <w:tcW w:w="372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262"/>
        </w:trPr>
        <w:tc>
          <w:tcPr>
            <w:tcW w:w="1580" w:type="dxa"/>
            <w:vAlign w:val="bottom"/>
          </w:tcPr>
          <w:p>
            <w:pPr>
              <w:spacing w:after="0"/>
              <w:rPr>
                <w:sz w:val="22"/>
                <w:szCs w:val="22"/>
                <w:color w:val="auto"/>
              </w:rPr>
            </w:pPr>
          </w:p>
        </w:tc>
        <w:tc>
          <w:tcPr>
            <w:tcW w:w="2820" w:type="dxa"/>
            <w:vAlign w:val="bottom"/>
            <w:gridSpan w:val="2"/>
          </w:tcPr>
          <w:p>
            <w:pPr>
              <w:jc w:val="center"/>
              <w:ind w:right="469"/>
              <w:spacing w:after="0"/>
              <w:rPr>
                <w:sz w:val="20"/>
                <w:szCs w:val="20"/>
                <w:color w:val="auto"/>
              </w:rPr>
            </w:pPr>
            <w:r>
              <w:rPr>
                <w:rFonts w:ascii="Times New Roman" w:cs="Times New Roman" w:eastAsia="Times New Roman" w:hAnsi="Times New Roman"/>
                <w:sz w:val="14"/>
                <w:szCs w:val="14"/>
                <w:color w:val="auto"/>
              </w:rPr>
              <w:t>295 Madison Ave., 12th Floor</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186"/>
        </w:trPr>
        <w:tc>
          <w:tcPr>
            <w:tcW w:w="15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tcPr>
          <w:p>
            <w:pPr>
              <w:jc w:val="center"/>
              <w:ind w:right="1009"/>
              <w:spacing w:after="0"/>
              <w:rPr>
                <w:sz w:val="20"/>
                <w:szCs w:val="20"/>
                <w:color w:val="auto"/>
              </w:rPr>
            </w:pPr>
            <w:r>
              <w:rPr>
                <w:rFonts w:ascii="Times New Roman" w:cs="Times New Roman" w:eastAsia="Times New Roman" w:hAnsi="Times New Roman"/>
                <w:sz w:val="14"/>
                <w:szCs w:val="14"/>
                <w:color w:val="auto"/>
                <w:w w:val="97"/>
              </w:rPr>
              <w:t>New York, NY</w:t>
            </w: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left="428"/>
              <w:spacing w:after="0"/>
              <w:rPr>
                <w:sz w:val="20"/>
                <w:szCs w:val="20"/>
                <w:color w:val="auto"/>
              </w:rPr>
            </w:pPr>
            <w:r>
              <w:rPr>
                <w:rFonts w:ascii="Times New Roman" w:cs="Times New Roman" w:eastAsia="Times New Roman" w:hAnsi="Times New Roman"/>
                <w:sz w:val="14"/>
                <w:szCs w:val="14"/>
                <w:color w:val="auto"/>
                <w:w w:val="97"/>
              </w:rPr>
              <w:t>10017</w:t>
            </w:r>
          </w:p>
        </w:tc>
        <w:tc>
          <w:tcPr>
            <w:tcW w:w="6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r>
      <w:tr>
        <w:trPr>
          <w:trHeight w:val="184"/>
        </w:trPr>
        <w:tc>
          <w:tcPr>
            <w:tcW w:w="1580" w:type="dxa"/>
            <w:vAlign w:val="bottom"/>
          </w:tcPr>
          <w:p>
            <w:pPr>
              <w:spacing w:after="0"/>
              <w:rPr>
                <w:sz w:val="16"/>
                <w:szCs w:val="16"/>
                <w:color w:val="auto"/>
              </w:rPr>
            </w:pPr>
          </w:p>
        </w:tc>
        <w:tc>
          <w:tcPr>
            <w:tcW w:w="2820" w:type="dxa"/>
            <w:vAlign w:val="bottom"/>
            <w:gridSpan w:val="2"/>
          </w:tcPr>
          <w:p>
            <w:pPr>
              <w:jc w:val="center"/>
              <w:ind w:right="469"/>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3720" w:type="dxa"/>
            <w:vAlign w:val="bottom"/>
            <w:gridSpan w:val="3"/>
          </w:tcPr>
          <w:p>
            <w:pPr>
              <w:jc w:val="center"/>
              <w:ind w:right="1700"/>
              <w:spacing w:after="0"/>
              <w:rPr>
                <w:sz w:val="20"/>
                <w:szCs w:val="20"/>
                <w:color w:val="auto"/>
              </w:rPr>
            </w:pPr>
            <w:r>
              <w:rPr>
                <w:rFonts w:ascii="Times New Roman" w:cs="Times New Roman" w:eastAsia="Times New Roman" w:hAnsi="Times New Roman"/>
                <w:sz w:val="14"/>
                <w:szCs w:val="14"/>
                <w:color w:val="auto"/>
              </w:rPr>
              <w:t>(Zip Code)</w:t>
            </w:r>
          </w:p>
        </w:tc>
      </w:tr>
      <w:tr>
        <w:trPr>
          <w:trHeight w:val="272"/>
        </w:trPr>
        <w:tc>
          <w:tcPr>
            <w:tcW w:w="4400" w:type="dxa"/>
            <w:vAlign w:val="bottom"/>
            <w:gridSpan w:val="3"/>
          </w:tcPr>
          <w:p>
            <w:pPr>
              <w:jc w:val="center"/>
              <w:ind w:left="94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520" w:type="dxa"/>
            <w:vAlign w:val="bottom"/>
          </w:tcPr>
          <w:p>
            <w:pPr>
              <w:jc w:val="center"/>
              <w:ind w:left="408"/>
              <w:spacing w:after="0"/>
              <w:rPr>
                <w:sz w:val="20"/>
                <w:szCs w:val="20"/>
                <w:color w:val="auto"/>
              </w:rPr>
            </w:pPr>
            <w:r>
              <w:rPr>
                <w:rFonts w:ascii="Times New Roman" w:cs="Times New Roman" w:eastAsia="Times New Roman" w:hAnsi="Times New Roman"/>
                <w:sz w:val="14"/>
                <w:szCs w:val="14"/>
                <w:color w:val="auto"/>
              </w:rPr>
              <w:t>(212) 235-2691</w:t>
            </w:r>
          </w:p>
        </w:tc>
        <w:tc>
          <w:tcPr>
            <w:tcW w:w="68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99"/>
        </w:trPr>
        <w:tc>
          <w:tcPr>
            <w:tcW w:w="15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r>
    </w:tbl>
    <w:p>
      <w:pPr>
        <w:spacing w:after="0" w:line="200" w:lineRule="exact"/>
        <w:rPr>
          <w:sz w:val="24"/>
          <w:szCs w:val="24"/>
          <w:color w:val="auto"/>
        </w:rPr>
      </w:pPr>
    </w:p>
    <w:p>
      <w:pPr>
        <w:spacing w:after="0" w:line="23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 (see General Instruction A.2.</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below):</w:t>
      </w:r>
    </w:p>
    <w:p>
      <w:pPr>
        <w:spacing w:after="0" w:line="26" w:lineRule="exact"/>
        <w:rPr>
          <w:sz w:val="24"/>
          <w:szCs w:val="24"/>
          <w:color w:val="auto"/>
        </w:rPr>
      </w:pPr>
    </w:p>
    <w:p>
      <w:pPr>
        <w:ind w:left="500" w:hanging="446"/>
        <w:spacing w:after="0"/>
        <w:tabs>
          <w:tab w:leader="none" w:pos="5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35" w:lineRule="exact"/>
        <w:rPr>
          <w:rFonts w:ascii="MS PGothic" w:cs="MS PGothic" w:eastAsia="MS PGothic" w:hAnsi="MS PGothic"/>
          <w:sz w:val="14"/>
          <w:szCs w:val="14"/>
          <w:color w:val="auto"/>
        </w:rPr>
      </w:pPr>
    </w:p>
    <w:p>
      <w:pPr>
        <w:ind w:left="500" w:hanging="446"/>
        <w:spacing w:after="0"/>
        <w:tabs>
          <w:tab w:leader="none" w:pos="5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9" w:lineRule="exact"/>
        <w:rPr>
          <w:rFonts w:ascii="MS PGothic" w:cs="MS PGothic" w:eastAsia="MS PGothic" w:hAnsi="MS PGothic"/>
          <w:sz w:val="14"/>
          <w:szCs w:val="14"/>
          <w:color w:val="auto"/>
        </w:rPr>
      </w:pPr>
    </w:p>
    <w:p>
      <w:pPr>
        <w:ind w:left="500" w:hanging="446"/>
        <w:spacing w:after="0"/>
        <w:tabs>
          <w:tab w:leader="none" w:pos="5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9" w:lineRule="exact"/>
        <w:rPr>
          <w:rFonts w:ascii="MS PGothic" w:cs="MS PGothic" w:eastAsia="MS PGothic" w:hAnsi="MS PGothic"/>
          <w:sz w:val="14"/>
          <w:szCs w:val="14"/>
          <w:color w:val="auto"/>
        </w:rPr>
      </w:pPr>
    </w:p>
    <w:p>
      <w:pPr>
        <w:ind w:left="500" w:hanging="446"/>
        <w:spacing w:after="0"/>
        <w:tabs>
          <w:tab w:leader="none" w:pos="5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25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r>
        <w:rPr>
          <w:rFonts w:ascii="Times New Roman" w:cs="Times New Roman" w:eastAsia="Times New Roman" w:hAnsi="Times New Roman"/>
          <w:sz w:val="9"/>
          <w:szCs w:val="9"/>
          <w:b w:val="1"/>
          <w:bCs w:val="1"/>
          <w:color w:val="auto"/>
        </w:rPr>
        <w:t>:</w:t>
      </w:r>
    </w:p>
    <w:p>
      <w:pPr>
        <w:spacing w:after="0" w:line="25" w:lineRule="exact"/>
        <w:rPr>
          <w:sz w:val="24"/>
          <w:szCs w:val="24"/>
          <w:color w:val="auto"/>
        </w:rPr>
      </w:pPr>
    </w:p>
    <w:tbl>
      <w:tblPr>
        <w:tblLayout w:type="fixed"/>
        <w:tblInd w:w="10" w:type="dxa"/>
        <w:tblCellMar>
          <w:top w:w="0" w:type="dxa"/>
          <w:left w:w="0" w:type="dxa"/>
          <w:bottom w:w="0" w:type="dxa"/>
          <w:right w:w="0" w:type="dxa"/>
        </w:tblCellMar>
      </w:tblPr>
      <w:tr>
        <w:trPr>
          <w:trHeight w:val="145"/>
        </w:trPr>
        <w:tc>
          <w:tcPr>
            <w:tcW w:w="48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8"/>
              </w:rPr>
              <w:t>Title of each class</w:t>
            </w:r>
          </w:p>
        </w:tc>
        <w:tc>
          <w:tcPr>
            <w:tcW w:w="17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Trading Symbol</w:t>
            </w:r>
          </w:p>
        </w:tc>
        <w:tc>
          <w:tcPr>
            <w:tcW w:w="48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Name of each exchange on which registered</w:t>
            </w:r>
          </w:p>
        </w:tc>
      </w:tr>
      <w:tr>
        <w:trPr>
          <w:trHeight w:val="129"/>
        </w:trPr>
        <w:tc>
          <w:tcPr>
            <w:tcW w:w="48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8"/>
              </w:rPr>
              <w:t>Common Stock, par value $0.001 per share</w:t>
            </w:r>
          </w:p>
        </w:tc>
        <w:tc>
          <w:tcPr>
            <w:tcW w:w="1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86"/>
              </w:rPr>
              <w:t>VATE</w:t>
            </w:r>
          </w:p>
        </w:tc>
        <w:tc>
          <w:tcPr>
            <w:tcW w:w="4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8"/>
              </w:rPr>
              <w:t>New York Stock Exchange</w:t>
            </w:r>
          </w:p>
        </w:tc>
      </w:tr>
      <w:tr>
        <w:trPr>
          <w:trHeight w:val="147"/>
        </w:trPr>
        <w:tc>
          <w:tcPr>
            <w:tcW w:w="48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8"/>
              </w:rPr>
              <w:t>Preferred Stock Purchase Rights</w:t>
            </w:r>
          </w:p>
        </w:tc>
        <w:tc>
          <w:tcPr>
            <w:tcW w:w="1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2"/>
              </w:rPr>
              <w:t>N/A</w:t>
            </w:r>
          </w:p>
        </w:tc>
        <w:tc>
          <w:tcPr>
            <w:tcW w:w="4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8"/>
              </w:rPr>
              <w:t>New York Stock Exchange</w:t>
            </w:r>
          </w:p>
        </w:tc>
      </w:tr>
    </w:tbl>
    <w:p>
      <w:pPr>
        <w:spacing w:after="0" w:line="240" w:lineRule="exact"/>
        <w:rPr>
          <w:sz w:val="24"/>
          <w:szCs w:val="24"/>
          <w:color w:val="auto"/>
        </w:rPr>
      </w:pPr>
    </w:p>
    <w:p>
      <w:pPr>
        <w:jc w:val="both"/>
        <w:ind w:right="20"/>
        <w:spacing w:after="0" w:line="263"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2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Emerging growth company</w:t>
            </w:r>
          </w:p>
        </w:tc>
        <w:tc>
          <w:tcPr>
            <w:tcW w:w="8520" w:type="dxa"/>
            <w:vAlign w:val="bottom"/>
          </w:tcPr>
          <w:p>
            <w:pPr>
              <w:ind w:left="640"/>
              <w:spacing w:after="0" w:line="141" w:lineRule="exact"/>
              <w:rPr>
                <w:sz w:val="20"/>
                <w:szCs w:val="20"/>
                <w:color w:val="auto"/>
              </w:rPr>
            </w:pPr>
            <w:r>
              <w:rPr>
                <w:rFonts w:ascii="MS PGothic" w:cs="MS PGothic" w:eastAsia="MS PGothic" w:hAnsi="MS PGothic"/>
                <w:sz w:val="14"/>
                <w:szCs w:val="14"/>
                <w:color w:val="auto"/>
              </w:rPr>
              <w:t>☐</w:t>
            </w:r>
          </w:p>
        </w:tc>
        <w:tc>
          <w:tcPr>
            <w:tcW w:w="560" w:type="dxa"/>
            <w:vAlign w:val="bottom"/>
          </w:tcPr>
          <w:p>
            <w:pPr>
              <w:spacing w:after="0"/>
              <w:rPr>
                <w:sz w:val="20"/>
                <w:szCs w:val="20"/>
                <w:color w:val="auto"/>
              </w:rPr>
            </w:pPr>
          </w:p>
        </w:tc>
      </w:tr>
      <w:tr>
        <w:trPr>
          <w:trHeight w:val="198"/>
        </w:trPr>
        <w:tc>
          <w:tcPr>
            <w:tcW w:w="10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If an emerging growth company, indicate by check mark if the registrant has elected not to use the extended transition period for complying with any new or revised financial accounting</w:t>
            </w:r>
          </w:p>
        </w:tc>
        <w:tc>
          <w:tcPr>
            <w:tcW w:w="560" w:type="dxa"/>
            <w:vAlign w:val="bottom"/>
          </w:tcPr>
          <w:p>
            <w:pPr>
              <w:ind w:left="220"/>
              <w:spacing w:after="0" w:line="141" w:lineRule="exact"/>
              <w:rPr>
                <w:sz w:val="20"/>
                <w:szCs w:val="20"/>
                <w:color w:val="auto"/>
              </w:rPr>
            </w:pPr>
            <w:r>
              <w:rPr>
                <w:rFonts w:ascii="MS PGothic" w:cs="MS PGothic" w:eastAsia="MS PGothic" w:hAnsi="MS PGothic"/>
                <w:sz w:val="14"/>
                <w:szCs w:val="14"/>
                <w:color w:val="auto"/>
              </w:rPr>
              <w:t>☐</w:t>
            </w:r>
          </w:p>
        </w:tc>
      </w:tr>
      <w:tr>
        <w:trPr>
          <w:trHeight w:val="184"/>
        </w:trPr>
        <w:tc>
          <w:tcPr>
            <w:tcW w:w="10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standards provided pursuant to Section 13(a) of the Exchange Act.</w:t>
            </w:r>
          </w:p>
        </w:tc>
        <w:tc>
          <w:tcPr>
            <w:tcW w:w="560" w:type="dxa"/>
            <w:vAlign w:val="bottom"/>
          </w:tcPr>
          <w:p>
            <w:pPr>
              <w:spacing w:after="0"/>
              <w:rPr>
                <w:sz w:val="16"/>
                <w:szCs w:val="16"/>
                <w:color w:val="auto"/>
              </w:rPr>
            </w:pPr>
          </w:p>
        </w:tc>
      </w:tr>
      <w:tr>
        <w:trPr>
          <w:trHeight w:val="963"/>
        </w:trPr>
        <w:tc>
          <w:tcPr>
            <w:tcW w:w="2200" w:type="dxa"/>
            <w:vAlign w:val="bottom"/>
            <w:tcBorders>
              <w:bottom w:val="single" w:sz="8" w:color="9A9A9A"/>
            </w:tcBorders>
          </w:tcPr>
          <w:p>
            <w:pPr>
              <w:spacing w:after="0"/>
              <w:rPr>
                <w:sz w:val="24"/>
                <w:szCs w:val="24"/>
                <w:color w:val="auto"/>
              </w:rPr>
            </w:pPr>
          </w:p>
        </w:tc>
        <w:tc>
          <w:tcPr>
            <w:tcW w:w="85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300"/>
          </w:cols>
          <w:pgMar w:left="300" w:top="1129" w:right="299" w:bottom="1440" w:gutter="0" w:footer="0" w:header="0"/>
        </w:sectPr>
      </w:pPr>
    </w:p>
    <w:bookmarkStart w:id="1" w:name="page2"/>
    <w:bookmarkEnd w:id="1"/>
    <w:p>
      <w:pPr>
        <w:ind w:left="20"/>
        <w:spacing w:after="0"/>
        <w:tabs>
          <w:tab w:leader="none" w:pos="840" w:val="left"/>
        </w:tabs>
        <w:rPr>
          <w:sz w:val="20"/>
          <w:szCs w:val="20"/>
          <w:color w:val="auto"/>
        </w:rPr>
      </w:pPr>
      <w:r>
        <w:rPr>
          <w:rFonts w:ascii="Times New Roman" w:cs="Times New Roman" w:eastAsia="Times New Roman" w:hAnsi="Times New Roman"/>
          <w:sz w:val="14"/>
          <w:szCs w:val="14"/>
          <w:b w:val="1"/>
          <w:bCs w:val="1"/>
          <w:color w:val="auto"/>
        </w:rPr>
        <w:t>Item 1.01</w:t>
      </w:r>
      <w:r>
        <w:rPr>
          <w:sz w:val="20"/>
          <w:szCs w:val="20"/>
          <w:color w:val="auto"/>
        </w:rPr>
        <w:tab/>
      </w:r>
      <w:r>
        <w:rPr>
          <w:rFonts w:ascii="Times New Roman" w:cs="Times New Roman" w:eastAsia="Times New Roman" w:hAnsi="Times New Roman"/>
          <w:sz w:val="14"/>
          <w:szCs w:val="14"/>
          <w:b w:val="1"/>
          <w:bCs w:val="1"/>
          <w:color w:val="auto"/>
        </w:rPr>
        <w:t>Entry into a Material Definitive Agreement</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Merger Agreement</w:t>
      </w:r>
    </w:p>
    <w:p>
      <w:pPr>
        <w:spacing w:after="0" w:line="181"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On May 29, 2026, HC2 Broadcasting Holdings Inc. (“Broadcasting”) and HC2 Broadcasting Holdco, LLC (“HC2 Holdco”), each an indirect wholly owned subsidiary of INNOVATE Corp., a Delaware corporation (the “Company”), entered into an Agreement and Plan of Merger (the “Merger Agreement”) with HC2 Merger Sub, LLC, a Delaware limited liability company (“Merger Sub”), and CONX Corp., a Nevada corporation (“CONX”), pursuant to which Merger Sub will merge with and into Broadcasting (the “Merger”), with Broadcasting surviving the Merger as a subsidiary of CONX (the “Surviving Entity”).</w:t>
      </w:r>
    </w:p>
    <w:p>
      <w:pPr>
        <w:spacing w:after="0" w:line="14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4"/>
          <w:szCs w:val="14"/>
          <w:color w:val="auto"/>
        </w:rPr>
        <w:t>On the terms and subject to the conditions set forth in the Merger Agreement, at the closing of the Merger (the “Closing”), (a) the shares of common stock, par value $0.001 per share, of Broadcasting (the “Broadcasting Common Stock”) (other than shares of Broadcasting Common Stock held by Merger Sub after giving effect to the closing of the Merger) will be converted into the right to receive 25% of the shares of common stock of the Surviving Entity to be outstanding immediately following the Closing, subject to certain adjustments as set forth in the Merger Agreement, and (b) the membership interests of Merger Sub outstanding immediately prior to the Closing will be converted into 75% of the shares of common stock of the Surviving Entity to be outstanding immediately following the Closing, subject to certain adjustments as set forth in the Merger Agreement, which represents the value attributable to (i) the extinguishment of the Loans (as defined below) and (ii) the funding of an aggregate $75 million in equity commitments by CONX in favor of the Surviving Entity from time to time, at or following the Closing, which equity commitments are subject to certain adjustments as set forth in the Merger Agreement.</w:t>
      </w:r>
    </w:p>
    <w:p>
      <w:pPr>
        <w:spacing w:after="0" w:line="147"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 Merger Agreement contains customary representations and warranties by each of the parties, and certain covenants, including covenants relating to (a) the conduct of Broadcasting’s business between the execution of the Merger Agreement and the Closing and (b) their respective efforts to consummate the Merger, including obtaining the required regulatory approvals.</w:t>
      </w:r>
    </w:p>
    <w:p>
      <w:pPr>
        <w:spacing w:after="0" w:line="124"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The Closing is subject to customary conditions, including (a) receipt of regulatory approvals, including certain approvals of the Federal Communications Commission and the expiration or termination of the waiting period under the Hart-Scott-Rodino Antitrust Improvements Act of 1976, as amended, and (b) that the obligations under the New Loan Agreement (as defined below) shall not have been declared due and payable.</w:t>
      </w:r>
    </w:p>
    <w:p>
      <w:pPr>
        <w:spacing w:after="0" w:line="136"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The Merger Agreement provides customary termination rights for the parties, including if the Merger has not occurred on or prior to November 29, 2026, subject to two potential extensions to March 1, 2027 and May 29, 2027 in the event the only condition to the Merger that remains unsatisfied as of such dates is the receipt of certain regulatory approvals and certain other exceptions, and contains certain indemnification obligations by the parties thereto in connection with breaches of certain representations and warranties and certain covenants contained in the Merger Agreement, subject to certain exceptions.</w:t>
      </w:r>
    </w:p>
    <w:p>
      <w:pPr>
        <w:spacing w:after="0" w:line="140"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 foregoing description of the Merger Agreement does not purport to be complete and is qualified in its entirety by reference to the full text of the Merger Agreement, a copy of which is attached hereto as Exhibit 2.1 and is incorporated herein by reference.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New Loan Agreement</w:t>
      </w:r>
    </w:p>
    <w:p>
      <w:pPr>
        <w:spacing w:after="0" w:line="181"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On May 29, 2026 (the “Loan Closing Date”), Broadcasting entered into a loan agreement (the “New Loan Agreement”), as borrower, with Merger Sub, as lender and HC2 Holdco and certain of Broadcasting’s subsidiaries, as guarantors.</w:t>
      </w:r>
    </w:p>
    <w:p>
      <w:pPr>
        <w:spacing w:after="0" w:line="124"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The New Loan Agreement provides for a bridge loan facility in an aggregate principal amount of $105 million (the “Bridge Loan Facility”), to be funded in a single drawing on the Loan Closing Date. The proceeds of the Bridge Loan Facility will be used to (a) fully satisfy and discharge all non-contingent obligations, including all accrued and unpaid interest and fees, under Broadcasting’s and certain of its subsidiaries’ 8.50% and 11.45% notes (the “Existing Notes”) and (b) repurchase equity interests in Broadcasting and DTV America Corporation held by certain holders of the Existing Notes.</w:t>
      </w:r>
    </w:p>
    <w:p>
      <w:pPr>
        <w:spacing w:after="0" w:line="140"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Broadcasting’s obligations under the Bridge Loan Facility are guaranteed by HC2 Holdco and certain of Broadcasting’s subsidiaries (collectively, the “Guarantors”), and such guarantees are secured by substantially all of the assets of each such Guarantor on a first lien basis (subject to certain customary exclusions).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513715</wp:posOffset>
            </wp:positionV>
            <wp:extent cx="71869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2" w:name="page3"/>
    <w:bookmarkEnd w:id="2"/>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Loans under the Bridge Loan Facility (“Loans”) will accrue interest at a rate per annum equal to 8.00%, payable quarterly in kind by capitalizing such interest as additional principal of the Bridge Loan Facility on each interest payment date. The Bridge Loan Facility matures on the first anniversary of the Loan Closing Date. Broadcasting may not voluntarily prepay the Loans prior to maturity. In the event of any early repayment or acceleration of the Loans, or the Loans reaching maturity without the occurrence of the consummation of the Merger, Broadcasting is required to repay in cash an amount sufficient to result in a minimum cash return on the original principal amount of the Loans, including all accrued and capitalized interest thereon, of 1.50:1.00. Upon consummation of the Merger, the Loans (including all accrued and capitalized interest thereon) will be extinguished in full.</w:t>
      </w:r>
    </w:p>
    <w:p>
      <w:pPr>
        <w:spacing w:after="0" w:line="143"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The New Loan Agreement contains certain affirmative and negative covenants that limit the ability of Broadcasting and the Guarantors, among other things, and subject to certain exceptions, to incur debt or liens, make investments, enter into certain mergers, consolidations, and acquisitions, and pay dividends and make other restricted payments. The New Loan Agreement contains certain events of default, including relating to a change of control and termination of the Merger Agreement.</w:t>
      </w:r>
    </w:p>
    <w:p>
      <w:pPr>
        <w:spacing w:after="0" w:line="136"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 foregoing description of the New Loan Agreement does not purport to be complete and is qualified in its entirety by reference to the full text of the New Loan Agreement, a copy of which is attached hereto as Exhibit 10.1 and is incorporated herein by reference.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Supplemental Indentures</w:t>
      </w:r>
    </w:p>
    <w:p>
      <w:pPr>
        <w:spacing w:after="0" w:line="181"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4"/>
          <w:szCs w:val="14"/>
          <w:color w:val="auto"/>
        </w:rPr>
        <w:t>In connection with the Merger, on May 29, 2026, the Company, certain subsidiary guarantors, and U.S. Bank Trust Company, National Association, as trustee (in such capacity, the “Trustee”) and notes collateral agent (in such capacity, the “Collateral Agent”), entered into certain supplemental indentures, including (i) a supplemental indenture (the “10.500% Notes Supplemental Indenture”) to the Indenture, dated August 4, 2025 (the “10.500% Notes Indenture”) governing its 10.500% Senior Secured Notes due 2027 (the “10.500% Notes”), and (ii) a supplemental indenture (the “9.5% Notes Supplemental Indenture”, and, together with the 10.500% Notes Supplemental Indenture, the “Supplemental Indentures”) to the Indenture, dated August 4, 2025 (the “9.5% Notes Indenture”, and, together with the 10.500% Notes Indenture, the Indentures) governing its 9.5% Convertible Senior Secured Notes due 2027 (the “9.5% 2027 Notes”, and, together with the 10.500% 2027 Notes, the “Notes”). Pursuant to the Supplemental Indentures, certain provisions of the Indentures, including certain definitions and negative covenants, were amended with the consent of the holders of at least a majority in aggregate principal amount of the Notes outstanding voting as a single class (the “Requisite Holders”). In addition, the Requisite Holders consented to the transactions related to the Merger and the New Loan Agreement and waived any and all defaults, events of default or other defaults that may have occurred, or that may arise under the Indentures as a result thereof.</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MSD Credit Agreement Amendment</w:t>
      </w:r>
    </w:p>
    <w:p>
      <w:pPr>
        <w:spacing w:after="0" w:line="18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In connection with the Merger, on May 29, 2026, the Company entered into a ninth amendment (the “Ninth Amendment”) to the Credit Agreement, dated as of March 13, 2020 (as amended, restated, supplemented or otherwise modified from time to time, the “MSD Credit Agreement”) among the Company, certain subsidiary guarantors and MSD PCOF Partners IX, LLC, as lender (the “Lender”). Pursuant to the Ninth Amendment, certain provisions of the MSD Credit Agreement, including certain definitions and negative covenants, were amended with the consent of the Lender. In addition, the Lender consented to the transactions related to the Merger and the New Loan Agreement and waived any and all defaults, events of default or other defaults that may have occurred, or that may arise under the MSD Credit Agreement as a result thereof.</w:t>
      </w:r>
    </w:p>
    <w:p>
      <w:pPr>
        <w:spacing w:after="0" w:line="143"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 foregoing descriptions of the Supplemental Indentures and the Ninth Amendment are summaries and are qualified in their entirety by reference to each of the Supplemental Indentures, which are attached hereto as Exhibits 10.2 and 10.3, and the Ninth Amendment, which is attached hereto as Exhibit 10.4, and are incorporated herein by reference.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Option Agreement</w:t>
      </w:r>
    </w:p>
    <w:p>
      <w:pPr>
        <w:spacing w:after="0" w:line="181"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In connection with the Merger, on May 29, 2026, CONX, Merger Sub, Broadcasting, HC2 Holdco and the Company entered into an Option Agreement (the “Option Agreement”), pursuant to which HC2 Holdco has the right, but not the obligation, to purchase from CONX up to an aggregate of 15% of the equity interests in the Surviving Entity (the “Surviving Entity Equity Interests”), on a fully diluted basis, at any time during the period commencing on the closing date of the Merger and ending on the date that is 18 months from the closing date (the “Option Expiration Date”).</w:t>
      </w:r>
    </w:p>
    <w:p>
      <w:pPr>
        <w:spacing w:after="0" w:line="136"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 option is subject to an aggregate maximum purchase price. The number of Surviving Entity Equity Interests to be purchased upon any exercise will be calculated by dividing the applicable exercise amount by a specified equity valuation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513715</wp:posOffset>
            </wp:positionV>
            <wp:extent cx="71869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3" w:name="page4"/>
    <w:bookmarkEnd w:id="3"/>
    <w:p>
      <w:pPr>
        <w:jc w:val="both"/>
        <w:spacing w:after="0" w:line="287" w:lineRule="auto"/>
        <w:rPr>
          <w:sz w:val="20"/>
          <w:szCs w:val="20"/>
          <w:color w:val="auto"/>
        </w:rPr>
      </w:pPr>
      <w:r>
        <w:rPr>
          <w:rFonts w:ascii="Times New Roman" w:cs="Times New Roman" w:eastAsia="Times New Roman" w:hAnsi="Times New Roman"/>
          <w:sz w:val="14"/>
          <w:szCs w:val="14"/>
          <w:color w:val="auto"/>
        </w:rPr>
        <w:t>multiplying by the number of fully diluted equity interests outstanding as of the date of the applicable exercise notice. HC2 Holdco may exercise the option on one or more occasions, in whole or in part, subject to a minimum exercise amount.</w:t>
      </w:r>
    </w:p>
    <w:p>
      <w:pPr>
        <w:spacing w:after="0" w:line="124"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The Option Agreement also provides that, from the date of the Option Agreement until the Option Expiration Date, in the event that the Company or any of its affiliates consummates any asset sale (as defined in the Option Agreement), the Company must cause HC2 Holdco to apply the net cash proceeds from such asset sale to exercise the option, subject to certain exceptions and a working capital reserve.</w:t>
      </w:r>
    </w:p>
    <w:p>
      <w:pPr>
        <w:spacing w:after="0" w:line="136"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 foregoing description of the Option Agreement does not purport to be complete and is qualified in its entirety by reference to the full text of the Option Agreement, a copy of which is attached hereto as Exhibit 10.5 and is incorporated herein by reference.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CONX Affiliate Letter Agreement</w:t>
      </w:r>
    </w:p>
    <w:p>
      <w:pPr>
        <w:spacing w:after="0" w:line="181"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In connection with entry into the Merger Agreement, CONX, an affiliate of CONX (the “CONX Affiliate”), and the Company entered into a letter agreement, dated as of May 29, 2026 (the “CONX Affiliate Letter Agreement”), pursuant to which CONX and the Company granted the CONX Affiliate the option to acquire up to 80.1% of the equity interests of Broadcasting, on a fully-diluted basis, at any time during the two-year period following the date of the CONX Affiliate Letter Agreement, at a price equal to the fair market value of the equity interests acquired, calculated as of the expected date of the closing of such option. If the CONX Affiliate exercises the option , the Company will have a certain period of time to exercise its option under the Option Agreement, after which, if not exercised, the option under the Option Agreement will automatically terminate.The Company may elect to require the CONX Affiliate to acquire all of the equity interests held by the Company at the later to occur of the Closing or the closing of such option exercise by the CONX Affiliate.</w:t>
      </w:r>
    </w:p>
    <w:p>
      <w:pPr>
        <w:spacing w:after="0" w:line="146"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 above summary of the material terms of the CONX Affiliate Letter Agreement does not purport to be complete and is qualified in its entirety by reference to the CONX Affiliate Letter Agreement, a copy of which is filed as Exhibit 10.6 hereto and incorporated by reference herein.</w:t>
      </w:r>
    </w:p>
    <w:p>
      <w:pPr>
        <w:spacing w:after="0" w:line="154" w:lineRule="exact"/>
        <w:rPr>
          <w:sz w:val="20"/>
          <w:szCs w:val="20"/>
          <w:color w:val="auto"/>
        </w:rPr>
      </w:pPr>
    </w:p>
    <w:p>
      <w:pPr>
        <w:ind w:left="860" w:right="4140" w:hanging="837"/>
        <w:spacing w:after="0" w:line="290" w:lineRule="auto"/>
        <w:tabs>
          <w:tab w:leader="none" w:pos="840" w:val="left"/>
        </w:tabs>
        <w:rPr>
          <w:sz w:val="20"/>
          <w:szCs w:val="20"/>
          <w:color w:val="auto"/>
        </w:rPr>
      </w:pPr>
      <w:r>
        <w:rPr>
          <w:rFonts w:ascii="Times New Roman" w:cs="Times New Roman" w:eastAsia="Times New Roman" w:hAnsi="Times New Roman"/>
          <w:sz w:val="14"/>
          <w:szCs w:val="14"/>
          <w:b w:val="1"/>
          <w:bCs w:val="1"/>
          <w:color w:val="auto"/>
        </w:rPr>
        <w:t>Item 2.03</w:t>
      </w:r>
      <w:r>
        <w:rPr>
          <w:sz w:val="20"/>
          <w:szCs w:val="20"/>
          <w:color w:val="auto"/>
        </w:rPr>
        <w:tab/>
      </w:r>
      <w:r>
        <w:rPr>
          <w:rFonts w:ascii="Times New Roman" w:cs="Times New Roman" w:eastAsia="Times New Roman" w:hAnsi="Times New Roman"/>
          <w:sz w:val="14"/>
          <w:szCs w:val="14"/>
          <w:b w:val="1"/>
          <w:bCs w:val="1"/>
          <w:color w:val="auto"/>
        </w:rPr>
        <w:t>Creation of a Direct Financial Obligation or an Obligation Under an Off-Balance Sheet Arrangement of a Registrant.</w:t>
      </w:r>
    </w:p>
    <w:p>
      <w:pPr>
        <w:spacing w:after="0" w:line="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information set forth under Item 1.01 of this Current Report on Form 8-K under the heading “New Loan Agreement” is incorporated herein by reference.</w:t>
      </w:r>
    </w:p>
    <w:p>
      <w:pPr>
        <w:spacing w:after="0" w:line="230" w:lineRule="exact"/>
        <w:rPr>
          <w:sz w:val="20"/>
          <w:szCs w:val="20"/>
          <w:color w:val="auto"/>
        </w:rPr>
      </w:pPr>
    </w:p>
    <w:p>
      <w:pPr>
        <w:ind w:left="20"/>
        <w:spacing w:after="0"/>
        <w:tabs>
          <w:tab w:leader="none" w:pos="840" w:val="left"/>
        </w:tabs>
        <w:rPr>
          <w:sz w:val="20"/>
          <w:szCs w:val="20"/>
          <w:color w:val="auto"/>
        </w:rPr>
      </w:pPr>
      <w:r>
        <w:rPr>
          <w:rFonts w:ascii="Times New Roman" w:cs="Times New Roman" w:eastAsia="Times New Roman" w:hAnsi="Times New Roman"/>
          <w:sz w:val="14"/>
          <w:szCs w:val="14"/>
          <w:b w:val="1"/>
          <w:bCs w:val="1"/>
          <w:color w:val="auto"/>
        </w:rPr>
        <w:t>Item 7.01</w:t>
      </w:r>
      <w:r>
        <w:rPr>
          <w:sz w:val="20"/>
          <w:szCs w:val="20"/>
          <w:color w:val="auto"/>
        </w:rPr>
        <w:tab/>
      </w:r>
      <w:r>
        <w:rPr>
          <w:rFonts w:ascii="Times New Roman" w:cs="Times New Roman" w:eastAsia="Times New Roman" w:hAnsi="Times New Roman"/>
          <w:sz w:val="14"/>
          <w:szCs w:val="14"/>
          <w:b w:val="1"/>
          <w:bCs w:val="1"/>
          <w:color w:val="auto"/>
        </w:rPr>
        <w:t>Regulation FD Disclosure.</w:t>
      </w:r>
    </w:p>
    <w:p>
      <w:pPr>
        <w:spacing w:after="0" w:line="297"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On June 1, 2026, the Company issued a press release announcing the Merger and the related transactions. A copy of the press release is attached hereto as Exhibit 99.1 and is incorporated herein by reference.</w:t>
      </w:r>
    </w:p>
    <w:p>
      <w:pPr>
        <w:spacing w:after="0" w:line="124"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The information in this Item 7.01, including Exhibit 99.1, is being furnished and shall not be deemed “filed” for purposes of Section 18 of the Securities Exchange Act of 1934, as amended (the “Exchange Act”), or otherwise subject to the liabilities of that Section, nor shall it be deemed incorporated by reference into any of the Company’s filings under the Securities Act of 1933, as amended, or the Exchange Act, whether made before or after the date hereof and regardless of any general incorporation language in such filings, except to the extent expressly set forth by specific reference in such a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766445</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4" w:name="page5"/>
    <w:bookmarkEnd w:id="4"/>
    <w:p>
      <w:pPr>
        <w:ind w:left="20"/>
        <w:spacing w:after="0"/>
        <w:tabs>
          <w:tab w:leader="none" w:pos="840" w:val="left"/>
        </w:tabs>
        <w:rPr>
          <w:sz w:val="20"/>
          <w:szCs w:val="20"/>
          <w:color w:val="auto"/>
        </w:rPr>
      </w:pPr>
      <w:r>
        <w:rPr>
          <w:rFonts w:ascii="Times New Roman" w:cs="Times New Roman" w:eastAsia="Times New Roman" w:hAnsi="Times New Roman"/>
          <w:sz w:val="14"/>
          <w:szCs w:val="14"/>
          <w:b w:val="1"/>
          <w:bCs w:val="1"/>
          <w:color w:val="auto"/>
        </w:rPr>
        <w:t>Item 9.01</w:t>
      </w:r>
      <w:r>
        <w:rPr>
          <w:sz w:val="20"/>
          <w:szCs w:val="20"/>
          <w:color w:val="auto"/>
        </w:rPr>
        <w:tab/>
      </w:r>
      <w:r>
        <w:rPr>
          <w:rFonts w:ascii="Times New Roman" w:cs="Times New Roman" w:eastAsia="Times New Roman" w:hAnsi="Times New Roman"/>
          <w:sz w:val="14"/>
          <w:szCs w:val="14"/>
          <w:b w:val="1"/>
          <w:bCs w:val="1"/>
          <w:color w:val="auto"/>
        </w:rPr>
        <w:t>Financial Statements and Exhibits.</w:t>
      </w:r>
    </w:p>
    <w:p>
      <w:pPr>
        <w:spacing w:after="0" w:line="14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color w:val="auto"/>
        </w:rPr>
        <w:t>(d)</w:t>
      </w:r>
      <w:r>
        <w:rPr>
          <w:sz w:val="20"/>
          <w:szCs w:val="20"/>
          <w:color w:val="auto"/>
        </w:rPr>
        <w:tab/>
      </w:r>
      <w:r>
        <w:rPr>
          <w:rFonts w:ascii="Times New Roman" w:cs="Times New Roman" w:eastAsia="Times New Roman" w:hAnsi="Times New Roman"/>
          <w:sz w:val="14"/>
          <w:szCs w:val="14"/>
          <w:color w:val="auto"/>
        </w:rPr>
        <w:t>Exhibits</w:t>
      </w:r>
    </w:p>
    <w:p>
      <w:pPr>
        <w:spacing w:after="0" w:line="207" w:lineRule="exact"/>
        <w:rPr>
          <w:sz w:val="20"/>
          <w:szCs w:val="20"/>
          <w:color w:val="auto"/>
        </w:rPr>
      </w:pPr>
    </w:p>
    <w:tbl>
      <w:tblPr>
        <w:tblLayout w:type="fixed"/>
        <w:tblInd w:w="10" w:type="dxa"/>
        <w:tblCellMar>
          <w:top w:w="0" w:type="dxa"/>
          <w:left w:w="0" w:type="dxa"/>
          <w:bottom w:w="0" w:type="dxa"/>
          <w:right w:w="0" w:type="dxa"/>
        </w:tblCellMar>
      </w:tblPr>
      <w:tr>
        <w:trPr>
          <w:trHeight w:val="197"/>
        </w:trPr>
        <w:tc>
          <w:tcPr>
            <w:tcW w:w="920" w:type="dxa"/>
            <w:vAlign w:val="bottom"/>
            <w:tcBorders>
              <w:top w:val="single" w:sz="8" w:color="auto"/>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Exhibit No.</w:t>
            </w:r>
          </w:p>
        </w:tc>
        <w:tc>
          <w:tcPr>
            <w:tcW w:w="20" w:type="dxa"/>
            <w:vAlign w:val="bottom"/>
            <w:tcBorders>
              <w:top w:val="single" w:sz="8" w:color="auto"/>
            </w:tcBorders>
          </w:tcPr>
          <w:p>
            <w:pPr>
              <w:spacing w:after="0"/>
              <w:rPr>
                <w:sz w:val="17"/>
                <w:szCs w:val="17"/>
                <w:color w:val="auto"/>
              </w:rPr>
            </w:pPr>
          </w:p>
        </w:tc>
        <w:tc>
          <w:tcPr>
            <w:tcW w:w="10160" w:type="dxa"/>
            <w:vAlign w:val="bottom"/>
            <w:tcBorders>
              <w:top w:val="single" w:sz="8" w:color="auto"/>
              <w:right w:val="single" w:sz="8" w:color="auto"/>
            </w:tcBorders>
            <w:gridSpan w:val="12"/>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920" w:type="dxa"/>
            <w:vAlign w:val="bottom"/>
            <w:tcBorders>
              <w:left w:val="single" w:sz="8" w:color="auto"/>
              <w:bottom w:val="single" w:sz="8" w:color="auto"/>
              <w:right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 w:type="dxa"/>
            <w:vAlign w:val="bottom"/>
            <w:tcBorders>
              <w:bottom w:val="single" w:sz="8" w:color="auto"/>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920" w:type="dxa"/>
            <w:vAlign w:val="bottom"/>
            <w:tcBorders>
              <w:left w:val="single" w:sz="8" w:color="auto"/>
              <w:right w:val="single" w:sz="8" w:color="auto"/>
            </w:tcBorders>
          </w:tcPr>
          <w:p>
            <w:pPr>
              <w:ind w:left="20"/>
              <w:spacing w:after="0" w:line="139" w:lineRule="exact"/>
              <w:rPr>
                <w:sz w:val="20"/>
                <w:szCs w:val="20"/>
                <w:color w:val="auto"/>
              </w:rPr>
            </w:pPr>
            <w:r>
              <w:rPr>
                <w:rFonts w:ascii="Times New Roman" w:cs="Times New Roman" w:eastAsia="Times New Roman" w:hAnsi="Times New Roman"/>
                <w:sz w:val="14"/>
                <w:szCs w:val="14"/>
                <w:color w:val="auto"/>
              </w:rPr>
              <w:t>2.1*</w:t>
            </w:r>
          </w:p>
        </w:tc>
        <w:tc>
          <w:tcPr>
            <w:tcW w:w="20" w:type="dxa"/>
            <w:vAlign w:val="bottom"/>
          </w:tcPr>
          <w:p>
            <w:pPr>
              <w:spacing w:after="0"/>
              <w:rPr>
                <w:sz w:val="12"/>
                <w:szCs w:val="12"/>
                <w:color w:val="auto"/>
              </w:rPr>
            </w:pPr>
          </w:p>
        </w:tc>
        <w:tc>
          <w:tcPr>
            <w:tcW w:w="10160" w:type="dxa"/>
            <w:vAlign w:val="bottom"/>
            <w:tcBorders>
              <w:right w:val="single" w:sz="8" w:color="auto"/>
            </w:tcBorders>
            <w:gridSpan w:val="12"/>
          </w:tcPr>
          <w:p>
            <w:pPr>
              <w:spacing w:after="0" w:line="139" w:lineRule="exact"/>
              <w:rPr>
                <w:sz w:val="20"/>
                <w:szCs w:val="20"/>
                <w:color w:val="auto"/>
              </w:rPr>
            </w:pPr>
            <w:r>
              <w:rPr>
                <w:rFonts w:ascii="Times New Roman" w:cs="Times New Roman" w:eastAsia="Times New Roman" w:hAnsi="Times New Roman"/>
                <w:sz w:val="14"/>
                <w:szCs w:val="14"/>
                <w:color w:val="0000FF"/>
              </w:rPr>
              <w:t>Agreement and Plan of Merger, dated as of May 29, 2026, among CONX Corp., HC2 Merger Sub, LLC, HC2 Broadcasting Holdco, LLC and HC2 Broadcasting Holdings Inc.</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920" w:type="dxa"/>
            <w:vAlign w:val="bottom"/>
            <w:tcBorders>
              <w:left w:val="single" w:sz="8" w:color="auto"/>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40" w:type="dxa"/>
            <w:vAlign w:val="bottom"/>
            <w:tcBorders>
              <w:top w:val="single" w:sz="8" w:color="0000FF"/>
              <w:bottom w:val="single" w:sz="8" w:color="auto"/>
            </w:tcBorders>
          </w:tcPr>
          <w:p>
            <w:pPr>
              <w:spacing w:after="0"/>
              <w:rPr>
                <w:sz w:val="2"/>
                <w:szCs w:val="2"/>
                <w:color w:val="auto"/>
              </w:rPr>
            </w:pPr>
          </w:p>
        </w:tc>
        <w:tc>
          <w:tcPr>
            <w:tcW w:w="1240" w:type="dxa"/>
            <w:vAlign w:val="bottom"/>
            <w:tcBorders>
              <w:top w:val="single" w:sz="8" w:color="0000FF"/>
              <w:bottom w:val="single" w:sz="8" w:color="auto"/>
            </w:tcBorders>
          </w:tcPr>
          <w:p>
            <w:pPr>
              <w:spacing w:after="0"/>
              <w:rPr>
                <w:sz w:val="2"/>
                <w:szCs w:val="2"/>
                <w:color w:val="auto"/>
              </w:rPr>
            </w:pPr>
          </w:p>
        </w:tc>
        <w:tc>
          <w:tcPr>
            <w:tcW w:w="880" w:type="dxa"/>
            <w:vAlign w:val="bottom"/>
            <w:tcBorders>
              <w:top w:val="single" w:sz="8" w:color="0000FF"/>
              <w:bottom w:val="single" w:sz="8" w:color="auto"/>
            </w:tcBorders>
          </w:tcPr>
          <w:p>
            <w:pPr>
              <w:spacing w:after="0"/>
              <w:rPr>
                <w:sz w:val="2"/>
                <w:szCs w:val="2"/>
                <w:color w:val="auto"/>
              </w:rPr>
            </w:pPr>
          </w:p>
        </w:tc>
        <w:tc>
          <w:tcPr>
            <w:tcW w:w="1440" w:type="dxa"/>
            <w:vAlign w:val="bottom"/>
            <w:tcBorders>
              <w:top w:val="single" w:sz="8" w:color="0000FF"/>
              <w:bottom w:val="single" w:sz="8" w:color="auto"/>
            </w:tcBorders>
          </w:tcPr>
          <w:p>
            <w:pPr>
              <w:spacing w:after="0"/>
              <w:rPr>
                <w:sz w:val="2"/>
                <w:szCs w:val="2"/>
                <w:color w:val="auto"/>
              </w:rPr>
            </w:pPr>
          </w:p>
        </w:tc>
        <w:tc>
          <w:tcPr>
            <w:tcW w:w="480" w:type="dxa"/>
            <w:vAlign w:val="bottom"/>
            <w:tcBorders>
              <w:top w:val="single" w:sz="8" w:color="0000FF"/>
              <w:bottom w:val="single" w:sz="8" w:color="auto"/>
            </w:tcBorders>
          </w:tcPr>
          <w:p>
            <w:pPr>
              <w:spacing w:after="0"/>
              <w:rPr>
                <w:sz w:val="2"/>
                <w:szCs w:val="2"/>
                <w:color w:val="auto"/>
              </w:rPr>
            </w:pPr>
          </w:p>
        </w:tc>
        <w:tc>
          <w:tcPr>
            <w:tcW w:w="1600" w:type="dxa"/>
            <w:vAlign w:val="bottom"/>
            <w:tcBorders>
              <w:top w:val="single" w:sz="8" w:color="0000FF"/>
              <w:bottom w:val="single" w:sz="8" w:color="auto"/>
            </w:tcBorders>
          </w:tcPr>
          <w:p>
            <w:pPr>
              <w:spacing w:after="0"/>
              <w:rPr>
                <w:sz w:val="2"/>
                <w:szCs w:val="2"/>
                <w:color w:val="auto"/>
              </w:rPr>
            </w:pPr>
          </w:p>
        </w:tc>
        <w:tc>
          <w:tcPr>
            <w:tcW w:w="2260" w:type="dxa"/>
            <w:vAlign w:val="bottom"/>
            <w:tcBorders>
              <w:top w:val="single" w:sz="8" w:color="0000FF"/>
              <w:bottom w:val="single" w:sz="8" w:color="auto"/>
            </w:tcBorders>
          </w:tcPr>
          <w:p>
            <w:pPr>
              <w:spacing w:after="0"/>
              <w:rPr>
                <w:sz w:val="2"/>
                <w:szCs w:val="2"/>
                <w:color w:val="auto"/>
              </w:rPr>
            </w:pPr>
          </w:p>
        </w:tc>
        <w:tc>
          <w:tcPr>
            <w:tcW w:w="62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260" w:type="dxa"/>
            <w:vAlign w:val="bottom"/>
            <w:tcBorders>
              <w:top w:val="single" w:sz="8" w:color="0000FF"/>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9"/>
        </w:trPr>
        <w:tc>
          <w:tcPr>
            <w:tcW w:w="920" w:type="dxa"/>
            <w:vAlign w:val="bottom"/>
            <w:tcBorders>
              <w:left w:val="single" w:sz="8" w:color="auto"/>
              <w:right w:val="single" w:sz="8" w:color="auto"/>
            </w:tcBorders>
          </w:tcPr>
          <w:p>
            <w:pPr>
              <w:ind w:left="20"/>
              <w:spacing w:after="0" w:line="139" w:lineRule="exact"/>
              <w:rPr>
                <w:sz w:val="20"/>
                <w:szCs w:val="20"/>
                <w:color w:val="auto"/>
              </w:rPr>
            </w:pPr>
            <w:r>
              <w:rPr>
                <w:rFonts w:ascii="Times New Roman" w:cs="Times New Roman" w:eastAsia="Times New Roman" w:hAnsi="Times New Roman"/>
                <w:sz w:val="14"/>
                <w:szCs w:val="14"/>
                <w:color w:val="auto"/>
              </w:rPr>
              <w:t>10.1*</w:t>
            </w:r>
          </w:p>
        </w:tc>
        <w:tc>
          <w:tcPr>
            <w:tcW w:w="20" w:type="dxa"/>
            <w:vAlign w:val="bottom"/>
          </w:tcPr>
          <w:p>
            <w:pPr>
              <w:spacing w:after="0"/>
              <w:rPr>
                <w:sz w:val="12"/>
                <w:szCs w:val="12"/>
                <w:color w:val="auto"/>
              </w:rPr>
            </w:pPr>
          </w:p>
        </w:tc>
        <w:tc>
          <w:tcPr>
            <w:tcW w:w="10160" w:type="dxa"/>
            <w:vAlign w:val="bottom"/>
            <w:tcBorders>
              <w:right w:val="single" w:sz="8" w:color="auto"/>
            </w:tcBorders>
            <w:gridSpan w:val="12"/>
          </w:tcPr>
          <w:p>
            <w:pPr>
              <w:spacing w:after="0" w:line="139" w:lineRule="exact"/>
              <w:rPr>
                <w:sz w:val="20"/>
                <w:szCs w:val="20"/>
                <w:color w:val="auto"/>
              </w:rPr>
            </w:pPr>
            <w:r>
              <w:rPr>
                <w:rFonts w:ascii="Times New Roman" w:cs="Times New Roman" w:eastAsia="Times New Roman" w:hAnsi="Times New Roman"/>
                <w:sz w:val="14"/>
                <w:szCs w:val="14"/>
                <w:color w:val="0000FF"/>
              </w:rPr>
              <w:t xml:space="preserve">Loan Agreement, dated as of May 29, 2026, by and between, </w:t>
            </w:r>
            <w:r>
              <w:rPr>
                <w:rFonts w:ascii="Times New Roman" w:cs="Times New Roman" w:eastAsia="Times New Roman" w:hAnsi="Times New Roman"/>
                <w:sz w:val="14"/>
                <w:szCs w:val="14"/>
                <w:i w:val="1"/>
                <w:iCs w:val="1"/>
                <w:color w:val="0000FF"/>
              </w:rPr>
              <w:t>inter alios</w:t>
            </w:r>
            <w:r>
              <w:rPr>
                <w:rFonts w:ascii="Times New Roman" w:cs="Times New Roman" w:eastAsia="Times New Roman" w:hAnsi="Times New Roman"/>
                <w:sz w:val="14"/>
                <w:szCs w:val="14"/>
                <w:color w:val="0000FF"/>
              </w:rPr>
              <w:t>, HC2 Broadcasting Holdings Inc., as borrower, and HC2 Merger Sub, LLC, as lender.</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920" w:type="dxa"/>
            <w:vAlign w:val="bottom"/>
            <w:tcBorders>
              <w:left w:val="single" w:sz="8" w:color="auto"/>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40" w:type="dxa"/>
            <w:vAlign w:val="bottom"/>
            <w:tcBorders>
              <w:top w:val="single" w:sz="8" w:color="0000FF"/>
              <w:bottom w:val="single" w:sz="8" w:color="auto"/>
            </w:tcBorders>
          </w:tcPr>
          <w:p>
            <w:pPr>
              <w:spacing w:after="0"/>
              <w:rPr>
                <w:sz w:val="2"/>
                <w:szCs w:val="2"/>
                <w:color w:val="auto"/>
              </w:rPr>
            </w:pPr>
          </w:p>
        </w:tc>
        <w:tc>
          <w:tcPr>
            <w:tcW w:w="1240" w:type="dxa"/>
            <w:vAlign w:val="bottom"/>
            <w:tcBorders>
              <w:top w:val="single" w:sz="8" w:color="0000FF"/>
              <w:bottom w:val="single" w:sz="8" w:color="auto"/>
            </w:tcBorders>
          </w:tcPr>
          <w:p>
            <w:pPr>
              <w:spacing w:after="0"/>
              <w:rPr>
                <w:sz w:val="2"/>
                <w:szCs w:val="2"/>
                <w:color w:val="auto"/>
              </w:rPr>
            </w:pPr>
          </w:p>
        </w:tc>
        <w:tc>
          <w:tcPr>
            <w:tcW w:w="880" w:type="dxa"/>
            <w:vAlign w:val="bottom"/>
            <w:tcBorders>
              <w:top w:val="single" w:sz="8" w:color="0000FF"/>
              <w:bottom w:val="single" w:sz="8" w:color="auto"/>
            </w:tcBorders>
          </w:tcPr>
          <w:p>
            <w:pPr>
              <w:spacing w:after="0"/>
              <w:rPr>
                <w:sz w:val="2"/>
                <w:szCs w:val="2"/>
                <w:color w:val="auto"/>
              </w:rPr>
            </w:pPr>
          </w:p>
        </w:tc>
        <w:tc>
          <w:tcPr>
            <w:tcW w:w="1440" w:type="dxa"/>
            <w:vAlign w:val="bottom"/>
            <w:tcBorders>
              <w:top w:val="single" w:sz="8" w:color="0000FF"/>
              <w:bottom w:val="single" w:sz="8" w:color="auto"/>
            </w:tcBorders>
          </w:tcPr>
          <w:p>
            <w:pPr>
              <w:spacing w:after="0"/>
              <w:rPr>
                <w:sz w:val="2"/>
                <w:szCs w:val="2"/>
                <w:color w:val="auto"/>
              </w:rPr>
            </w:pPr>
          </w:p>
        </w:tc>
        <w:tc>
          <w:tcPr>
            <w:tcW w:w="480" w:type="dxa"/>
            <w:vAlign w:val="bottom"/>
            <w:tcBorders>
              <w:top w:val="single" w:sz="8" w:color="0000FF"/>
              <w:bottom w:val="single" w:sz="8" w:color="auto"/>
            </w:tcBorders>
          </w:tcPr>
          <w:p>
            <w:pPr>
              <w:spacing w:after="0"/>
              <w:rPr>
                <w:sz w:val="2"/>
                <w:szCs w:val="2"/>
                <w:color w:val="auto"/>
              </w:rPr>
            </w:pPr>
          </w:p>
        </w:tc>
        <w:tc>
          <w:tcPr>
            <w:tcW w:w="1600" w:type="dxa"/>
            <w:vAlign w:val="bottom"/>
            <w:tcBorders>
              <w:top w:val="single" w:sz="8" w:color="0000FF"/>
              <w:bottom w:val="single" w:sz="8" w:color="auto"/>
            </w:tcBorders>
          </w:tcPr>
          <w:p>
            <w:pPr>
              <w:spacing w:after="0"/>
              <w:rPr>
                <w:sz w:val="2"/>
                <w:szCs w:val="2"/>
                <w:color w:val="auto"/>
              </w:rPr>
            </w:pPr>
          </w:p>
        </w:tc>
        <w:tc>
          <w:tcPr>
            <w:tcW w:w="2260" w:type="dxa"/>
            <w:vAlign w:val="bottom"/>
            <w:tcBorders>
              <w:top w:val="single" w:sz="8" w:color="0000FF"/>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9"/>
        </w:trPr>
        <w:tc>
          <w:tcPr>
            <w:tcW w:w="920" w:type="dxa"/>
            <w:vAlign w:val="bottom"/>
            <w:tcBorders>
              <w:left w:val="single" w:sz="8" w:color="auto"/>
              <w:right w:val="single" w:sz="8" w:color="auto"/>
            </w:tcBorders>
          </w:tcPr>
          <w:p>
            <w:pPr>
              <w:ind w:left="20"/>
              <w:spacing w:after="0" w:line="139" w:lineRule="exact"/>
              <w:rPr>
                <w:sz w:val="20"/>
                <w:szCs w:val="20"/>
                <w:color w:val="auto"/>
              </w:rPr>
            </w:pPr>
            <w:r>
              <w:rPr>
                <w:rFonts w:ascii="Times New Roman" w:cs="Times New Roman" w:eastAsia="Times New Roman" w:hAnsi="Times New Roman"/>
                <w:sz w:val="14"/>
                <w:szCs w:val="14"/>
                <w:color w:val="auto"/>
              </w:rPr>
              <w:t>10.2</w:t>
            </w:r>
          </w:p>
        </w:tc>
        <w:tc>
          <w:tcPr>
            <w:tcW w:w="20" w:type="dxa"/>
            <w:vAlign w:val="bottom"/>
          </w:tcPr>
          <w:p>
            <w:pPr>
              <w:spacing w:after="0"/>
              <w:rPr>
                <w:sz w:val="12"/>
                <w:szCs w:val="12"/>
                <w:color w:val="auto"/>
              </w:rPr>
            </w:pPr>
          </w:p>
        </w:tc>
        <w:tc>
          <w:tcPr>
            <w:tcW w:w="10160" w:type="dxa"/>
            <w:vAlign w:val="bottom"/>
            <w:tcBorders>
              <w:right w:val="single" w:sz="8" w:color="auto"/>
            </w:tcBorders>
            <w:gridSpan w:val="12"/>
          </w:tcPr>
          <w:p>
            <w:pPr>
              <w:spacing w:after="0" w:line="139" w:lineRule="exact"/>
              <w:rPr>
                <w:sz w:val="20"/>
                <w:szCs w:val="20"/>
                <w:color w:val="auto"/>
              </w:rPr>
            </w:pPr>
            <w:r>
              <w:rPr>
                <w:rFonts w:ascii="Times New Roman" w:cs="Times New Roman" w:eastAsia="Times New Roman" w:hAnsi="Times New Roman"/>
                <w:sz w:val="14"/>
                <w:szCs w:val="14"/>
                <w:color w:val="0000FF"/>
              </w:rPr>
              <w:t>Supplemental Indenture, dated as of May 29, 2026, by and among INNOVATE Corp., the Subsidiary Guarantors named therein, and U.S. Bank Trust Company, National</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920" w:type="dxa"/>
            <w:vAlign w:val="bottom"/>
            <w:tcBorders>
              <w:left w:val="single" w:sz="8" w:color="auto"/>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9560" w:type="dxa"/>
            <w:vAlign w:val="bottom"/>
            <w:tcBorders>
              <w:top w:val="single" w:sz="8" w:color="0000FF"/>
            </w:tcBorders>
            <w:gridSpan w:val="8"/>
          </w:tcPr>
          <w:p>
            <w:pPr>
              <w:spacing w:after="0" w:line="118" w:lineRule="exact"/>
              <w:rPr>
                <w:sz w:val="20"/>
                <w:szCs w:val="20"/>
                <w:color w:val="auto"/>
              </w:rPr>
            </w:pPr>
            <w:r>
              <w:rPr>
                <w:rFonts w:ascii="Times New Roman" w:cs="Times New Roman" w:eastAsia="Times New Roman" w:hAnsi="Times New Roman"/>
                <w:sz w:val="13"/>
                <w:szCs w:val="13"/>
                <w:color w:val="0000FF"/>
              </w:rPr>
              <w:t>Association, relating to the Company’s 10.500% Senior Secured Notes due 2027.</w:t>
            </w:r>
          </w:p>
        </w:tc>
        <w:tc>
          <w:tcPr>
            <w:tcW w:w="100" w:type="dxa"/>
            <w:vAlign w:val="bottom"/>
          </w:tcPr>
          <w:p>
            <w:pPr>
              <w:spacing w:after="0"/>
              <w:rPr>
                <w:sz w:val="10"/>
                <w:szCs w:val="10"/>
                <w:color w:val="auto"/>
              </w:rPr>
            </w:pPr>
          </w:p>
        </w:tc>
        <w:tc>
          <w:tcPr>
            <w:tcW w:w="440" w:type="dxa"/>
            <w:vAlign w:val="bottom"/>
            <w:gridSpan w:val="2"/>
          </w:tcPr>
          <w:p>
            <w:pPr>
              <w:spacing w:after="0"/>
              <w:rPr>
                <w:sz w:val="10"/>
                <w:szCs w:val="10"/>
                <w:color w:val="auto"/>
              </w:rPr>
            </w:pPr>
          </w:p>
        </w:tc>
        <w:tc>
          <w:tcPr>
            <w:tcW w:w="6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9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40" w:type="dxa"/>
            <w:vAlign w:val="bottom"/>
            <w:tcBorders>
              <w:top w:val="single" w:sz="8" w:color="0000FF"/>
              <w:bottom w:val="single" w:sz="8" w:color="auto"/>
            </w:tcBorders>
          </w:tcPr>
          <w:p>
            <w:pPr>
              <w:spacing w:after="0" w:line="20" w:lineRule="exact"/>
              <w:rPr>
                <w:sz w:val="1"/>
                <w:szCs w:val="1"/>
                <w:color w:val="auto"/>
              </w:rPr>
            </w:pPr>
          </w:p>
        </w:tc>
        <w:tc>
          <w:tcPr>
            <w:tcW w:w="1240" w:type="dxa"/>
            <w:vAlign w:val="bottom"/>
            <w:tcBorders>
              <w:top w:val="single" w:sz="8" w:color="0000FF"/>
              <w:bottom w:val="single" w:sz="8" w:color="auto"/>
            </w:tcBorders>
          </w:tcPr>
          <w:p>
            <w:pPr>
              <w:spacing w:after="0" w:line="20" w:lineRule="exact"/>
              <w:rPr>
                <w:sz w:val="1"/>
                <w:szCs w:val="1"/>
                <w:color w:val="auto"/>
              </w:rPr>
            </w:pPr>
          </w:p>
        </w:tc>
        <w:tc>
          <w:tcPr>
            <w:tcW w:w="880" w:type="dxa"/>
            <w:vAlign w:val="bottom"/>
            <w:tcBorders>
              <w:top w:val="single" w:sz="8" w:color="0000FF"/>
              <w:bottom w:val="single" w:sz="8" w:color="auto"/>
            </w:tcBorders>
          </w:tcPr>
          <w:p>
            <w:pPr>
              <w:spacing w:after="0" w:line="20" w:lineRule="exact"/>
              <w:rPr>
                <w:sz w:val="1"/>
                <w:szCs w:val="1"/>
                <w:color w:val="auto"/>
              </w:rPr>
            </w:pPr>
          </w:p>
        </w:tc>
        <w:tc>
          <w:tcPr>
            <w:tcW w:w="1440" w:type="dxa"/>
            <w:vAlign w:val="bottom"/>
            <w:tcBorders>
              <w:top w:val="single" w:sz="8" w:color="0000FF"/>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9"/>
        </w:trPr>
        <w:tc>
          <w:tcPr>
            <w:tcW w:w="920" w:type="dxa"/>
            <w:vAlign w:val="bottom"/>
            <w:tcBorders>
              <w:left w:val="single" w:sz="8" w:color="auto"/>
              <w:right w:val="single" w:sz="8" w:color="auto"/>
            </w:tcBorders>
          </w:tcPr>
          <w:p>
            <w:pPr>
              <w:ind w:left="20"/>
              <w:spacing w:after="0" w:line="139" w:lineRule="exact"/>
              <w:rPr>
                <w:sz w:val="20"/>
                <w:szCs w:val="20"/>
                <w:color w:val="auto"/>
              </w:rPr>
            </w:pPr>
            <w:r>
              <w:rPr>
                <w:rFonts w:ascii="Times New Roman" w:cs="Times New Roman" w:eastAsia="Times New Roman" w:hAnsi="Times New Roman"/>
                <w:sz w:val="14"/>
                <w:szCs w:val="14"/>
                <w:color w:val="auto"/>
              </w:rPr>
              <w:t>10.3</w:t>
            </w:r>
          </w:p>
        </w:tc>
        <w:tc>
          <w:tcPr>
            <w:tcW w:w="20" w:type="dxa"/>
            <w:vAlign w:val="bottom"/>
          </w:tcPr>
          <w:p>
            <w:pPr>
              <w:spacing w:after="0"/>
              <w:rPr>
                <w:sz w:val="12"/>
                <w:szCs w:val="12"/>
                <w:color w:val="auto"/>
              </w:rPr>
            </w:pPr>
          </w:p>
        </w:tc>
        <w:tc>
          <w:tcPr>
            <w:tcW w:w="10160" w:type="dxa"/>
            <w:vAlign w:val="bottom"/>
            <w:tcBorders>
              <w:right w:val="single" w:sz="8" w:color="auto"/>
            </w:tcBorders>
            <w:gridSpan w:val="12"/>
          </w:tcPr>
          <w:p>
            <w:pPr>
              <w:spacing w:after="0" w:line="139" w:lineRule="exact"/>
              <w:rPr>
                <w:sz w:val="20"/>
                <w:szCs w:val="20"/>
                <w:color w:val="auto"/>
              </w:rPr>
            </w:pPr>
            <w:r>
              <w:rPr>
                <w:rFonts w:ascii="Times New Roman" w:cs="Times New Roman" w:eastAsia="Times New Roman" w:hAnsi="Times New Roman"/>
                <w:sz w:val="14"/>
                <w:szCs w:val="14"/>
                <w:color w:val="0000FF"/>
              </w:rPr>
              <w:t>Supplemental Indenture, dated as of May 29, 2026, by and among INNOVATE Corp., the Subsidiary Guarantors named therein, and U.S. Bank Trust Company, National</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920" w:type="dxa"/>
            <w:vAlign w:val="bottom"/>
            <w:tcBorders>
              <w:left w:val="single" w:sz="8" w:color="auto"/>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9560" w:type="dxa"/>
            <w:vAlign w:val="bottom"/>
            <w:tcBorders>
              <w:top w:val="single" w:sz="8" w:color="0000FF"/>
            </w:tcBorders>
            <w:gridSpan w:val="8"/>
          </w:tcPr>
          <w:p>
            <w:pPr>
              <w:spacing w:after="0" w:line="118" w:lineRule="exact"/>
              <w:rPr>
                <w:sz w:val="20"/>
                <w:szCs w:val="20"/>
                <w:color w:val="auto"/>
              </w:rPr>
            </w:pPr>
            <w:r>
              <w:rPr>
                <w:rFonts w:ascii="Times New Roman" w:cs="Times New Roman" w:eastAsia="Times New Roman" w:hAnsi="Times New Roman"/>
                <w:sz w:val="13"/>
                <w:szCs w:val="13"/>
                <w:color w:val="0000FF"/>
              </w:rPr>
              <w:t>Association, relating to the Company’s 9.5% Convertible Senior Secured Notes due 2027.</w:t>
            </w:r>
          </w:p>
        </w:tc>
        <w:tc>
          <w:tcPr>
            <w:tcW w:w="100" w:type="dxa"/>
            <w:vAlign w:val="bottom"/>
          </w:tcPr>
          <w:p>
            <w:pPr>
              <w:spacing w:after="0"/>
              <w:rPr>
                <w:sz w:val="10"/>
                <w:szCs w:val="10"/>
                <w:color w:val="auto"/>
              </w:rPr>
            </w:pPr>
          </w:p>
        </w:tc>
        <w:tc>
          <w:tcPr>
            <w:tcW w:w="440" w:type="dxa"/>
            <w:vAlign w:val="bottom"/>
            <w:gridSpan w:val="2"/>
          </w:tcPr>
          <w:p>
            <w:pPr>
              <w:spacing w:after="0"/>
              <w:rPr>
                <w:sz w:val="10"/>
                <w:szCs w:val="10"/>
                <w:color w:val="auto"/>
              </w:rPr>
            </w:pPr>
          </w:p>
        </w:tc>
        <w:tc>
          <w:tcPr>
            <w:tcW w:w="6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9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40" w:type="dxa"/>
            <w:vAlign w:val="bottom"/>
            <w:tcBorders>
              <w:top w:val="single" w:sz="8" w:color="0000FF"/>
              <w:bottom w:val="single" w:sz="8" w:color="auto"/>
            </w:tcBorders>
          </w:tcPr>
          <w:p>
            <w:pPr>
              <w:spacing w:after="0" w:line="20" w:lineRule="exact"/>
              <w:rPr>
                <w:sz w:val="1"/>
                <w:szCs w:val="1"/>
                <w:color w:val="auto"/>
              </w:rPr>
            </w:pPr>
          </w:p>
        </w:tc>
        <w:tc>
          <w:tcPr>
            <w:tcW w:w="1240" w:type="dxa"/>
            <w:vAlign w:val="bottom"/>
            <w:tcBorders>
              <w:top w:val="single" w:sz="8" w:color="0000FF"/>
              <w:bottom w:val="single" w:sz="8" w:color="auto"/>
            </w:tcBorders>
          </w:tcPr>
          <w:p>
            <w:pPr>
              <w:spacing w:after="0" w:line="20" w:lineRule="exact"/>
              <w:rPr>
                <w:sz w:val="1"/>
                <w:szCs w:val="1"/>
                <w:color w:val="auto"/>
              </w:rPr>
            </w:pPr>
          </w:p>
        </w:tc>
        <w:tc>
          <w:tcPr>
            <w:tcW w:w="880" w:type="dxa"/>
            <w:vAlign w:val="bottom"/>
            <w:tcBorders>
              <w:top w:val="single" w:sz="8" w:color="0000FF"/>
              <w:bottom w:val="single" w:sz="8" w:color="auto"/>
            </w:tcBorders>
          </w:tcPr>
          <w:p>
            <w:pPr>
              <w:spacing w:after="0" w:line="20" w:lineRule="exact"/>
              <w:rPr>
                <w:sz w:val="1"/>
                <w:szCs w:val="1"/>
                <w:color w:val="auto"/>
              </w:rPr>
            </w:pPr>
          </w:p>
        </w:tc>
        <w:tc>
          <w:tcPr>
            <w:tcW w:w="1440" w:type="dxa"/>
            <w:vAlign w:val="bottom"/>
            <w:tcBorders>
              <w:top w:val="single" w:sz="8" w:color="0000FF"/>
              <w:bottom w:val="single" w:sz="8" w:color="auto"/>
            </w:tcBorders>
          </w:tcPr>
          <w:p>
            <w:pPr>
              <w:spacing w:after="0" w:line="20" w:lineRule="exact"/>
              <w:rPr>
                <w:sz w:val="1"/>
                <w:szCs w:val="1"/>
                <w:color w:val="auto"/>
              </w:rPr>
            </w:pPr>
          </w:p>
        </w:tc>
        <w:tc>
          <w:tcPr>
            <w:tcW w:w="480" w:type="dxa"/>
            <w:vAlign w:val="bottom"/>
            <w:tcBorders>
              <w:top w:val="single" w:sz="8" w:color="0000FF"/>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9"/>
        </w:trPr>
        <w:tc>
          <w:tcPr>
            <w:tcW w:w="920" w:type="dxa"/>
            <w:vAlign w:val="bottom"/>
            <w:tcBorders>
              <w:left w:val="single" w:sz="8" w:color="auto"/>
              <w:right w:val="single" w:sz="8" w:color="auto"/>
            </w:tcBorders>
          </w:tcPr>
          <w:p>
            <w:pPr>
              <w:ind w:left="20"/>
              <w:spacing w:after="0" w:line="139" w:lineRule="exact"/>
              <w:rPr>
                <w:sz w:val="20"/>
                <w:szCs w:val="20"/>
                <w:color w:val="auto"/>
              </w:rPr>
            </w:pPr>
            <w:r>
              <w:rPr>
                <w:rFonts w:ascii="Times New Roman" w:cs="Times New Roman" w:eastAsia="Times New Roman" w:hAnsi="Times New Roman"/>
                <w:sz w:val="14"/>
                <w:szCs w:val="14"/>
                <w:color w:val="auto"/>
              </w:rPr>
              <w:t>10.4</w:t>
            </w:r>
          </w:p>
        </w:tc>
        <w:tc>
          <w:tcPr>
            <w:tcW w:w="20" w:type="dxa"/>
            <w:vAlign w:val="bottom"/>
          </w:tcPr>
          <w:p>
            <w:pPr>
              <w:spacing w:after="0"/>
              <w:rPr>
                <w:sz w:val="12"/>
                <w:szCs w:val="12"/>
                <w:color w:val="auto"/>
              </w:rPr>
            </w:pPr>
          </w:p>
        </w:tc>
        <w:tc>
          <w:tcPr>
            <w:tcW w:w="10160" w:type="dxa"/>
            <w:vAlign w:val="bottom"/>
            <w:tcBorders>
              <w:right w:val="single" w:sz="8" w:color="auto"/>
            </w:tcBorders>
            <w:gridSpan w:val="12"/>
          </w:tcPr>
          <w:p>
            <w:pPr>
              <w:spacing w:after="0" w:line="139" w:lineRule="exact"/>
              <w:rPr>
                <w:sz w:val="20"/>
                <w:szCs w:val="20"/>
                <w:color w:val="auto"/>
              </w:rPr>
            </w:pPr>
            <w:r>
              <w:rPr>
                <w:rFonts w:ascii="Times New Roman" w:cs="Times New Roman" w:eastAsia="Times New Roman" w:hAnsi="Times New Roman"/>
                <w:sz w:val="14"/>
                <w:szCs w:val="14"/>
                <w:color w:val="0000FF"/>
              </w:rPr>
              <w:t>Ninth Amendment to Credit Agreement, dated as of May 29, 2026, by and among INNOVATE Corp., the Guarantors named therein and MSD PCOF Partners IX, LLC, relating to</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920" w:type="dxa"/>
            <w:vAlign w:val="bottom"/>
            <w:tcBorders>
              <w:left w:val="single" w:sz="8" w:color="auto"/>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0100" w:type="dxa"/>
            <w:vAlign w:val="bottom"/>
            <w:tcBorders>
              <w:top w:val="single" w:sz="8" w:color="0000FF"/>
            </w:tcBorders>
            <w:gridSpan w:val="11"/>
          </w:tcPr>
          <w:p>
            <w:pPr>
              <w:spacing w:after="0" w:line="118" w:lineRule="exact"/>
              <w:rPr>
                <w:sz w:val="20"/>
                <w:szCs w:val="20"/>
                <w:color w:val="auto"/>
              </w:rPr>
            </w:pPr>
            <w:r>
              <w:rPr>
                <w:rFonts w:ascii="Times New Roman" w:cs="Times New Roman" w:eastAsia="Times New Roman" w:hAnsi="Times New Roman"/>
                <w:sz w:val="13"/>
                <w:szCs w:val="13"/>
                <w:color w:val="0000FF"/>
              </w:rPr>
              <w:t>the Company’s MSD Credit Agreement.</w:t>
            </w:r>
          </w:p>
        </w:tc>
        <w:tc>
          <w:tcPr>
            <w:tcW w:w="6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9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40" w:type="dxa"/>
            <w:vAlign w:val="bottom"/>
            <w:tcBorders>
              <w:top w:val="single" w:sz="8" w:color="0000FF"/>
              <w:bottom w:val="single" w:sz="8" w:color="auto"/>
            </w:tcBorders>
          </w:tcPr>
          <w:p>
            <w:pPr>
              <w:spacing w:after="0" w:line="20" w:lineRule="exact"/>
              <w:rPr>
                <w:sz w:val="1"/>
                <w:szCs w:val="1"/>
                <w:color w:val="auto"/>
              </w:rPr>
            </w:pPr>
          </w:p>
        </w:tc>
        <w:tc>
          <w:tcPr>
            <w:tcW w:w="1240" w:type="dxa"/>
            <w:vAlign w:val="bottom"/>
            <w:tcBorders>
              <w:top w:val="single" w:sz="8" w:color="0000FF"/>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9"/>
        </w:trPr>
        <w:tc>
          <w:tcPr>
            <w:tcW w:w="920" w:type="dxa"/>
            <w:vAlign w:val="bottom"/>
            <w:tcBorders>
              <w:left w:val="single" w:sz="8" w:color="auto"/>
              <w:right w:val="single" w:sz="8" w:color="auto"/>
            </w:tcBorders>
          </w:tcPr>
          <w:p>
            <w:pPr>
              <w:ind w:left="20"/>
              <w:spacing w:after="0" w:line="139" w:lineRule="exact"/>
              <w:rPr>
                <w:sz w:val="20"/>
                <w:szCs w:val="20"/>
                <w:color w:val="auto"/>
              </w:rPr>
            </w:pPr>
            <w:r>
              <w:rPr>
                <w:rFonts w:ascii="Times New Roman" w:cs="Times New Roman" w:eastAsia="Times New Roman" w:hAnsi="Times New Roman"/>
                <w:sz w:val="14"/>
                <w:szCs w:val="14"/>
                <w:color w:val="auto"/>
              </w:rPr>
              <w:t>10.5</w:t>
            </w:r>
          </w:p>
        </w:tc>
        <w:tc>
          <w:tcPr>
            <w:tcW w:w="20" w:type="dxa"/>
            <w:vAlign w:val="bottom"/>
          </w:tcPr>
          <w:p>
            <w:pPr>
              <w:spacing w:after="0"/>
              <w:rPr>
                <w:sz w:val="12"/>
                <w:szCs w:val="12"/>
                <w:color w:val="auto"/>
              </w:rPr>
            </w:pPr>
          </w:p>
        </w:tc>
        <w:tc>
          <w:tcPr>
            <w:tcW w:w="10160" w:type="dxa"/>
            <w:vAlign w:val="bottom"/>
            <w:tcBorders>
              <w:right w:val="single" w:sz="8" w:color="auto"/>
            </w:tcBorders>
            <w:gridSpan w:val="12"/>
          </w:tcPr>
          <w:p>
            <w:pPr>
              <w:spacing w:after="0" w:line="139" w:lineRule="exact"/>
              <w:rPr>
                <w:sz w:val="20"/>
                <w:szCs w:val="20"/>
                <w:color w:val="auto"/>
              </w:rPr>
            </w:pPr>
            <w:r>
              <w:rPr>
                <w:rFonts w:ascii="Times New Roman" w:cs="Times New Roman" w:eastAsia="Times New Roman" w:hAnsi="Times New Roman"/>
                <w:sz w:val="14"/>
                <w:szCs w:val="14"/>
                <w:color w:val="0000FF"/>
              </w:rPr>
              <w:t>Option Agreement, dated as of May 29, 2026, by and among CONX Corp., HC2 Merger Sub, LLC, HC2 Broadcasting Holdings Inc., HC2 Broadcasting Holdco, LLC and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920" w:type="dxa"/>
            <w:vAlign w:val="bottom"/>
            <w:tcBorders>
              <w:left w:val="single" w:sz="8" w:color="auto"/>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9660" w:type="dxa"/>
            <w:vAlign w:val="bottom"/>
            <w:tcBorders>
              <w:top w:val="single" w:sz="8" w:color="0000FF"/>
            </w:tcBorders>
            <w:gridSpan w:val="9"/>
          </w:tcPr>
          <w:p>
            <w:pPr>
              <w:spacing w:after="0" w:line="129" w:lineRule="exact"/>
              <w:rPr>
                <w:sz w:val="20"/>
                <w:szCs w:val="20"/>
                <w:color w:val="auto"/>
              </w:rPr>
            </w:pPr>
            <w:r>
              <w:rPr>
                <w:rFonts w:ascii="Times New Roman" w:cs="Times New Roman" w:eastAsia="Times New Roman" w:hAnsi="Times New Roman"/>
                <w:sz w:val="14"/>
                <w:szCs w:val="14"/>
                <w:color w:val="0000FF"/>
              </w:rPr>
              <w:t>INNOVATE Corp.</w:t>
            </w:r>
          </w:p>
        </w:tc>
        <w:tc>
          <w:tcPr>
            <w:tcW w:w="500" w:type="dxa"/>
            <w:vAlign w:val="bottom"/>
            <w:tcBorders>
              <w:right w:val="single" w:sz="8" w:color="auto"/>
            </w:tcBorders>
            <w:gridSpan w:val="3"/>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4"/>
        </w:trPr>
        <w:tc>
          <w:tcPr>
            <w:tcW w:w="920" w:type="dxa"/>
            <w:vAlign w:val="bottom"/>
            <w:tcBorders>
              <w:left w:val="single" w:sz="8" w:color="auto"/>
              <w:bottom w:val="single" w:sz="8" w:color="auto"/>
              <w:right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40" w:type="dxa"/>
            <w:vAlign w:val="bottom"/>
            <w:tcBorders>
              <w:top w:val="single" w:sz="8" w:color="0000FF"/>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22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0" w:type="dxa"/>
            <w:vAlign w:val="bottom"/>
            <w:tcBorders>
              <w:bottom w:val="single" w:sz="8" w:color="auto"/>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9"/>
        </w:trPr>
        <w:tc>
          <w:tcPr>
            <w:tcW w:w="920" w:type="dxa"/>
            <w:vAlign w:val="bottom"/>
            <w:tcBorders>
              <w:left w:val="single" w:sz="8" w:color="auto"/>
              <w:right w:val="single" w:sz="8" w:color="auto"/>
            </w:tcBorders>
          </w:tcPr>
          <w:p>
            <w:pPr>
              <w:ind w:left="20"/>
              <w:spacing w:after="0" w:line="139" w:lineRule="exact"/>
              <w:rPr>
                <w:sz w:val="20"/>
                <w:szCs w:val="20"/>
                <w:color w:val="auto"/>
              </w:rPr>
            </w:pPr>
            <w:r>
              <w:rPr>
                <w:rFonts w:ascii="Times New Roman" w:cs="Times New Roman" w:eastAsia="Times New Roman" w:hAnsi="Times New Roman"/>
                <w:sz w:val="14"/>
                <w:szCs w:val="14"/>
                <w:color w:val="auto"/>
              </w:rPr>
              <w:t>10.6</w:t>
            </w:r>
          </w:p>
        </w:tc>
        <w:tc>
          <w:tcPr>
            <w:tcW w:w="20" w:type="dxa"/>
            <w:vAlign w:val="bottom"/>
          </w:tcPr>
          <w:p>
            <w:pPr>
              <w:spacing w:after="0"/>
              <w:rPr>
                <w:sz w:val="12"/>
                <w:szCs w:val="12"/>
                <w:color w:val="auto"/>
              </w:rPr>
            </w:pPr>
          </w:p>
        </w:tc>
        <w:tc>
          <w:tcPr>
            <w:tcW w:w="10160" w:type="dxa"/>
            <w:vAlign w:val="bottom"/>
            <w:tcBorders>
              <w:right w:val="single" w:sz="8" w:color="auto"/>
            </w:tcBorders>
            <w:gridSpan w:val="12"/>
          </w:tcPr>
          <w:p>
            <w:pPr>
              <w:spacing w:after="0" w:line="139" w:lineRule="exact"/>
              <w:rPr>
                <w:sz w:val="20"/>
                <w:szCs w:val="20"/>
                <w:color w:val="auto"/>
              </w:rPr>
            </w:pPr>
            <w:r>
              <w:rPr>
                <w:rFonts w:ascii="Times New Roman" w:cs="Times New Roman" w:eastAsia="Times New Roman" w:hAnsi="Times New Roman"/>
                <w:sz w:val="14"/>
                <w:szCs w:val="14"/>
                <w:color w:val="0000FF"/>
              </w:rPr>
              <w:t>Letter Agreement, dated as of May 29, 2026, by and among CONX Corp., the CONX Affiliate and INNOVATE Corp.</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920" w:type="dxa"/>
            <w:vAlign w:val="bottom"/>
            <w:tcBorders>
              <w:left w:val="single" w:sz="8" w:color="auto"/>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40" w:type="dxa"/>
            <w:vAlign w:val="bottom"/>
            <w:tcBorders>
              <w:top w:val="single" w:sz="8" w:color="0000FF"/>
              <w:bottom w:val="single" w:sz="8" w:color="auto"/>
            </w:tcBorders>
          </w:tcPr>
          <w:p>
            <w:pPr>
              <w:spacing w:after="0"/>
              <w:rPr>
                <w:sz w:val="2"/>
                <w:szCs w:val="2"/>
                <w:color w:val="auto"/>
              </w:rPr>
            </w:pPr>
          </w:p>
        </w:tc>
        <w:tc>
          <w:tcPr>
            <w:tcW w:w="1240" w:type="dxa"/>
            <w:vAlign w:val="bottom"/>
            <w:tcBorders>
              <w:top w:val="single" w:sz="8" w:color="0000FF"/>
              <w:bottom w:val="single" w:sz="8" w:color="auto"/>
            </w:tcBorders>
          </w:tcPr>
          <w:p>
            <w:pPr>
              <w:spacing w:after="0"/>
              <w:rPr>
                <w:sz w:val="2"/>
                <w:szCs w:val="2"/>
                <w:color w:val="auto"/>
              </w:rPr>
            </w:pPr>
          </w:p>
        </w:tc>
        <w:tc>
          <w:tcPr>
            <w:tcW w:w="880" w:type="dxa"/>
            <w:vAlign w:val="bottom"/>
            <w:tcBorders>
              <w:top w:val="single" w:sz="8" w:color="0000FF"/>
              <w:bottom w:val="single" w:sz="8" w:color="auto"/>
            </w:tcBorders>
          </w:tcPr>
          <w:p>
            <w:pPr>
              <w:spacing w:after="0"/>
              <w:rPr>
                <w:sz w:val="2"/>
                <w:szCs w:val="2"/>
                <w:color w:val="auto"/>
              </w:rPr>
            </w:pPr>
          </w:p>
        </w:tc>
        <w:tc>
          <w:tcPr>
            <w:tcW w:w="1440" w:type="dxa"/>
            <w:vAlign w:val="bottom"/>
            <w:tcBorders>
              <w:top w:val="single" w:sz="8" w:color="0000FF"/>
              <w:bottom w:val="single" w:sz="8" w:color="auto"/>
            </w:tcBorders>
          </w:tcPr>
          <w:p>
            <w:pPr>
              <w:spacing w:after="0"/>
              <w:rPr>
                <w:sz w:val="2"/>
                <w:szCs w:val="2"/>
                <w:color w:val="auto"/>
              </w:rPr>
            </w:pPr>
          </w:p>
        </w:tc>
        <w:tc>
          <w:tcPr>
            <w:tcW w:w="480" w:type="dxa"/>
            <w:vAlign w:val="bottom"/>
            <w:tcBorders>
              <w:top w:val="single" w:sz="8" w:color="0000FF"/>
              <w:bottom w:val="single" w:sz="8" w:color="auto"/>
            </w:tcBorders>
          </w:tcPr>
          <w:p>
            <w:pPr>
              <w:spacing w:after="0"/>
              <w:rPr>
                <w:sz w:val="2"/>
                <w:szCs w:val="2"/>
                <w:color w:val="auto"/>
              </w:rPr>
            </w:pPr>
          </w:p>
        </w:tc>
        <w:tc>
          <w:tcPr>
            <w:tcW w:w="1600" w:type="dxa"/>
            <w:vAlign w:val="bottom"/>
            <w:tcBorders>
              <w:top w:val="single" w:sz="8" w:color="0000FF"/>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9"/>
        </w:trPr>
        <w:tc>
          <w:tcPr>
            <w:tcW w:w="920" w:type="dxa"/>
            <w:vAlign w:val="bottom"/>
            <w:tcBorders>
              <w:left w:val="single" w:sz="8" w:color="auto"/>
              <w:right w:val="single" w:sz="8" w:color="auto"/>
            </w:tcBorders>
          </w:tcPr>
          <w:p>
            <w:pPr>
              <w:ind w:left="20"/>
              <w:spacing w:after="0" w:line="139" w:lineRule="exact"/>
              <w:rPr>
                <w:sz w:val="20"/>
                <w:szCs w:val="20"/>
                <w:color w:val="auto"/>
              </w:rPr>
            </w:pPr>
            <w:r>
              <w:rPr>
                <w:rFonts w:ascii="Times New Roman" w:cs="Times New Roman" w:eastAsia="Times New Roman" w:hAnsi="Times New Roman"/>
                <w:sz w:val="14"/>
                <w:szCs w:val="14"/>
                <w:color w:val="auto"/>
              </w:rPr>
              <w:t>99.1</w:t>
            </w:r>
          </w:p>
        </w:tc>
        <w:tc>
          <w:tcPr>
            <w:tcW w:w="20" w:type="dxa"/>
            <w:vAlign w:val="bottom"/>
          </w:tcPr>
          <w:p>
            <w:pPr>
              <w:spacing w:after="0"/>
              <w:rPr>
                <w:sz w:val="12"/>
                <w:szCs w:val="12"/>
                <w:color w:val="auto"/>
              </w:rPr>
            </w:pPr>
          </w:p>
        </w:tc>
        <w:tc>
          <w:tcPr>
            <w:tcW w:w="10160" w:type="dxa"/>
            <w:vAlign w:val="bottom"/>
            <w:tcBorders>
              <w:right w:val="single" w:sz="8" w:color="auto"/>
            </w:tcBorders>
            <w:gridSpan w:val="12"/>
          </w:tcPr>
          <w:p>
            <w:pPr>
              <w:spacing w:after="0" w:line="139" w:lineRule="exact"/>
              <w:rPr>
                <w:sz w:val="20"/>
                <w:szCs w:val="20"/>
                <w:color w:val="auto"/>
              </w:rPr>
            </w:pPr>
            <w:r>
              <w:rPr>
                <w:rFonts w:ascii="Times New Roman" w:cs="Times New Roman" w:eastAsia="Times New Roman" w:hAnsi="Times New Roman"/>
                <w:sz w:val="14"/>
                <w:szCs w:val="14"/>
                <w:color w:val="0000FF"/>
              </w:rPr>
              <w:t>Press Release of INNOVATE Corp., dated June 1, 2026.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40" w:type="dxa"/>
            <w:vAlign w:val="bottom"/>
            <w:tcBorders>
              <w:top w:val="single" w:sz="8" w:color="0000FF"/>
              <w:bottom w:val="single" w:sz="8" w:color="auto"/>
            </w:tcBorders>
          </w:tcPr>
          <w:p>
            <w:pPr>
              <w:spacing w:after="0" w:line="20" w:lineRule="exact"/>
              <w:rPr>
                <w:sz w:val="1"/>
                <w:szCs w:val="1"/>
                <w:color w:val="auto"/>
              </w:rPr>
            </w:pPr>
          </w:p>
        </w:tc>
        <w:tc>
          <w:tcPr>
            <w:tcW w:w="1240" w:type="dxa"/>
            <w:vAlign w:val="bottom"/>
            <w:tcBorders>
              <w:top w:val="single" w:sz="8" w:color="0000FF"/>
              <w:bottom w:val="single" w:sz="8" w:color="auto"/>
            </w:tcBorders>
          </w:tcPr>
          <w:p>
            <w:pPr>
              <w:spacing w:after="0" w:line="20" w:lineRule="exact"/>
              <w:rPr>
                <w:sz w:val="1"/>
                <w:szCs w:val="1"/>
                <w:color w:val="auto"/>
              </w:rPr>
            </w:pPr>
          </w:p>
        </w:tc>
        <w:tc>
          <w:tcPr>
            <w:tcW w:w="880" w:type="dxa"/>
            <w:vAlign w:val="bottom"/>
            <w:tcBorders>
              <w:top w:val="single" w:sz="8" w:color="0000FF"/>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9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104</w:t>
            </w:r>
          </w:p>
        </w:tc>
        <w:tc>
          <w:tcPr>
            <w:tcW w:w="20" w:type="dxa"/>
            <w:vAlign w:val="bottom"/>
            <w:tcBorders>
              <w:bottom w:val="single" w:sz="8" w:color="auto"/>
            </w:tcBorders>
          </w:tcPr>
          <w:p>
            <w:pPr>
              <w:spacing w:after="0"/>
              <w:rPr>
                <w:sz w:val="14"/>
                <w:szCs w:val="14"/>
                <w:color w:val="auto"/>
              </w:rPr>
            </w:pPr>
          </w:p>
        </w:tc>
        <w:tc>
          <w:tcPr>
            <w:tcW w:w="10160" w:type="dxa"/>
            <w:vAlign w:val="bottom"/>
            <w:tcBorders>
              <w:bottom w:val="single" w:sz="8" w:color="auto"/>
              <w:right w:val="single" w:sz="8" w:color="auto"/>
            </w:tcBorders>
            <w:gridSpan w:val="12"/>
          </w:tcPr>
          <w:p>
            <w:pPr>
              <w:spacing w:after="0"/>
              <w:rPr>
                <w:sz w:val="20"/>
                <w:szCs w:val="20"/>
                <w:color w:val="auto"/>
              </w:rPr>
            </w:pPr>
            <w:r>
              <w:rPr>
                <w:rFonts w:ascii="Times New Roman" w:cs="Times New Roman" w:eastAsia="Times New Roman" w:hAnsi="Times New Roman"/>
                <w:sz w:val="14"/>
                <w:szCs w:val="14"/>
                <w:color w:val="auto"/>
              </w:rPr>
              <w:t>Cover Page Interactive Data File (the cover page XBRL tags are embedded within the Inline XBRL document).</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0"/>
                <w:szCs w:val="10"/>
                <w:color w:val="auto"/>
                <w:w w:val="71"/>
              </w:rPr>
              <w:t>S</w:t>
            </w:r>
          </w:p>
        </w:tc>
        <w:tc>
          <w:tcPr>
            <w:tcW w:w="0" w:type="dxa"/>
            <w:vAlign w:val="bottom"/>
          </w:tcPr>
          <w:p>
            <w:pPr>
              <w:spacing w:after="0"/>
              <w:rPr>
                <w:sz w:val="1"/>
                <w:szCs w:val="1"/>
                <w:color w:val="auto"/>
              </w:rPr>
            </w:pPr>
          </w:p>
        </w:tc>
      </w:tr>
      <w:tr>
        <w:trPr>
          <w:trHeight w:val="64"/>
        </w:trPr>
        <w:tc>
          <w:tcPr>
            <w:tcW w:w="9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600" w:type="dxa"/>
            <w:vAlign w:val="bottom"/>
          </w:tcPr>
          <w:p>
            <w:pPr>
              <w:spacing w:after="0"/>
              <w:rPr>
                <w:sz w:val="5"/>
                <w:szCs w:val="5"/>
                <w:color w:val="auto"/>
              </w:rPr>
            </w:pPr>
          </w:p>
        </w:tc>
        <w:tc>
          <w:tcPr>
            <w:tcW w:w="22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right="60" w:firstLine="5"/>
        <w:spacing w:after="0" w:line="255" w:lineRule="auto"/>
        <w:tabs>
          <w:tab w:leader="none" w:pos="106"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schedules and exhibits have been omitted pursuant to Item 601(b)(2) of Regulation S-K. The Company agrees to furnish supplementally a copy of such schedules and exhibits, or any section thereof, to the SEC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419735</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60"/>
          </w:cols>
          <w:pgMar w:left="300" w:top="759" w:right="439" w:bottom="1440" w:gutter="0" w:footer="0" w:header="0"/>
        </w:sectPr>
      </w:pPr>
    </w:p>
    <w:bookmarkStart w:id="5" w:name="page6"/>
    <w:bookmarkEnd w:id="5"/>
    <w:p>
      <w:pPr>
        <w:jc w:val="center"/>
        <w:ind w:left="500"/>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79"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June 1, 2026</w:t>
      </w:r>
    </w:p>
    <w:p>
      <w:pPr>
        <w:spacing w:after="0" w:line="238"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6"/>
          <w:szCs w:val="16"/>
          <w:b w:val="1"/>
          <w:bCs w:val="1"/>
          <w:color w:val="auto"/>
        </w:rPr>
        <w:t>INNOVATE Corp.</w:t>
      </w:r>
    </w:p>
    <w:p>
      <w:pPr>
        <w:spacing w:after="0" w:line="240" w:lineRule="exact"/>
        <w:rPr>
          <w:sz w:val="20"/>
          <w:szCs w:val="20"/>
          <w:color w:val="auto"/>
        </w:rPr>
      </w:pPr>
    </w:p>
    <w:p>
      <w:pPr>
        <w:ind w:left="3080"/>
        <w:spacing w:after="0"/>
        <w:tabs>
          <w:tab w:leader="none" w:pos="360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i w:val="1"/>
          <w:iCs w:val="1"/>
          <w:color w:val="auto"/>
        </w:rPr>
        <w:t>/s/ Michael J. Sena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2293620</wp:posOffset>
            </wp:positionH>
            <wp:positionV relativeFrom="paragraph">
              <wp:posOffset>24130</wp:posOffset>
            </wp:positionV>
            <wp:extent cx="191325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13255" cy="6985"/>
                    </a:xfrm>
                    <a:prstGeom prst="rect">
                      <a:avLst/>
                    </a:prstGeom>
                    <a:noFill/>
                  </pic:spPr>
                </pic:pic>
              </a:graphicData>
            </a:graphic>
          </wp:anchor>
        </w:drawing>
      </w:r>
    </w:p>
    <w:p>
      <w:pPr>
        <w:spacing w:after="0" w:line="21"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6"/>
          <w:szCs w:val="16"/>
          <w:color w:val="auto"/>
        </w:rPr>
        <w:t>Name: Michael J. Sena</w:t>
      </w:r>
    </w:p>
    <w:p>
      <w:pPr>
        <w:spacing w:after="0" w:line="19"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6"/>
          <w:szCs w:val="16"/>
          <w:color w:val="auto"/>
        </w:rPr>
        <w:t>Title: Chief Financial Officer</w:t>
      </w:r>
    </w:p>
    <w:p>
      <w:pPr>
        <w:sectPr>
          <w:pgSz w:w="11900" w:h="16838" w:orient="portrait"/>
          <w:cols w:equalWidth="0" w:num="1">
            <w:col w:w="11280"/>
          </w:cols>
          <w:pgMar w:left="300" w:top="724" w:right="319" w:bottom="1440"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304800</wp:posOffset>
            </wp:positionV>
            <wp:extent cx="7102475" cy="102997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299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5880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05650" cy="5588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2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05650" cy="5722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2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05650" cy="5722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36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05650" cy="5736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96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05650" cy="5729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96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05650" cy="5729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2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05650" cy="5722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2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05650" cy="5722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2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05650" cy="5722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96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05650" cy="5729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2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05650" cy="5722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96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05650" cy="5729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96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05650" cy="5729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96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05650" cy="5729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96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05650" cy="5729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96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05650" cy="5729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26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05650" cy="5722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96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05650" cy="5729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26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05650" cy="5722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36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05650" cy="5736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092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05650" cy="57092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1627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05650" cy="5716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092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05650" cy="57092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1627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05650" cy="5716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26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05650" cy="5722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092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05650" cy="57092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023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05650" cy="5702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1627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05650" cy="5716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83502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05650" cy="83502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21" w:name="page122"/>
    <w:bookmarkEnd w:id="1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304165</wp:posOffset>
            </wp:positionV>
            <wp:extent cx="7102475" cy="103003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300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5949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05650" cy="5594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26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05650" cy="5722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26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05650" cy="5722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26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05650" cy="5722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26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05650" cy="5722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26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05650" cy="5722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7" w:name="page148"/>
    <w:bookmarkEnd w:id="1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96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05650" cy="5729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9" w:name="page150"/>
    <w:bookmarkEnd w:id="1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0" w:name="page151"/>
    <w:bookmarkEnd w:id="1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1" w:name="page152"/>
    <w:bookmarkEnd w:id="1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2" w:name="page153"/>
    <w:bookmarkEnd w:id="1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26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05650" cy="5722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3" w:name="page154"/>
    <w:bookmarkEnd w:id="1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4" w:name="page155"/>
    <w:bookmarkEnd w:id="1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5" w:name="page156"/>
    <w:bookmarkEnd w:id="1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6" w:name="page157"/>
    <w:bookmarkEnd w:id="1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26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05650" cy="5722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7" w:name="page158"/>
    <w:bookmarkEnd w:id="1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8" w:name="page159"/>
    <w:bookmarkEnd w:id="1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9" w:name="page160"/>
    <w:bookmarkEnd w:id="1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0" w:name="page161"/>
    <w:bookmarkEnd w:id="1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96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05650" cy="5729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1" w:name="page162"/>
    <w:bookmarkEnd w:id="1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2" w:name="page163"/>
    <w:bookmarkEnd w:id="1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3" w:name="page164"/>
    <w:bookmarkEnd w:id="1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4" w:name="page165"/>
    <w:bookmarkEnd w:id="1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96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05650" cy="5729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5" w:name="page166"/>
    <w:bookmarkEnd w:id="1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6" w:name="page167"/>
    <w:bookmarkEnd w:id="1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7" w:name="page168"/>
    <w:bookmarkEnd w:id="1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8" w:name="page169"/>
    <w:bookmarkEnd w:id="1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262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05650" cy="5722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9" w:name="page170"/>
    <w:bookmarkEnd w:id="16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0" w:name="page171"/>
    <w:bookmarkEnd w:id="1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1" w:name="page172"/>
    <w:bookmarkEnd w:id="1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2" w:name="page173"/>
    <w:bookmarkEnd w:id="17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96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05650" cy="5729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3" w:name="page174"/>
    <w:bookmarkEnd w:id="17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4" w:name="page175"/>
    <w:bookmarkEnd w:id="17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5" w:name="page176"/>
    <w:bookmarkEnd w:id="17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6" w:name="page177"/>
    <w:bookmarkEnd w:id="17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023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05650" cy="5702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7" w:name="page178"/>
    <w:bookmarkEnd w:id="17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8" w:name="page179"/>
    <w:bookmarkEnd w:id="17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83369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05650" cy="8336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9" w:name="page180"/>
    <w:bookmarkEnd w:id="17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80" w:name="page181"/>
    <w:bookmarkEnd w:id="180"/>
    <w:p>
      <w:pPr>
        <w:jc w:val="right"/>
        <w:spacing w:after="0"/>
        <w:rPr>
          <w:sz w:val="20"/>
          <w:szCs w:val="20"/>
          <w:color w:val="auto"/>
        </w:rPr>
      </w:pPr>
      <w:r>
        <w:rPr>
          <w:rFonts w:ascii="Times New Roman" w:cs="Times New Roman" w:eastAsia="Times New Roman" w:hAnsi="Times New Roman"/>
          <w:sz w:val="17"/>
          <w:szCs w:val="17"/>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FIRST SUPPLEMENTAL INDENTURE</w:t>
      </w:r>
    </w:p>
    <w:p>
      <w:pPr>
        <w:spacing w:after="0" w:line="172"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7"/>
          <w:szCs w:val="17"/>
          <w:color w:val="auto"/>
        </w:rPr>
        <w:t>FIRST SUPPLEMENTAL INDENTURE (this “</w:t>
      </w:r>
      <w:r>
        <w:rPr>
          <w:rFonts w:ascii="Times New Roman" w:cs="Times New Roman" w:eastAsia="Times New Roman" w:hAnsi="Times New Roman"/>
          <w:sz w:val="17"/>
          <w:szCs w:val="17"/>
          <w:i w:val="1"/>
          <w:iCs w:val="1"/>
          <w:color w:val="auto"/>
        </w:rPr>
        <w:t>Supplemental Indenture</w:t>
      </w:r>
      <w:r>
        <w:rPr>
          <w:rFonts w:ascii="Times New Roman" w:cs="Times New Roman" w:eastAsia="Times New Roman" w:hAnsi="Times New Roman"/>
          <w:sz w:val="17"/>
          <w:szCs w:val="17"/>
          <w:color w:val="auto"/>
        </w:rPr>
        <w:t>”), dated as of May 29, 2026, by and among INNOVATE Corp. (f/k/a HC2 Holdings, Inc.), a Delaware corporation (the “</w:t>
      </w:r>
      <w:r>
        <w:rPr>
          <w:rFonts w:ascii="Times New Roman" w:cs="Times New Roman" w:eastAsia="Times New Roman" w:hAnsi="Times New Roman"/>
          <w:sz w:val="17"/>
          <w:szCs w:val="17"/>
          <w:i w:val="1"/>
          <w:iCs w:val="1"/>
          <w:color w:val="auto"/>
        </w:rPr>
        <w:t>Company</w:t>
      </w:r>
      <w:r>
        <w:rPr>
          <w:rFonts w:ascii="Times New Roman" w:cs="Times New Roman" w:eastAsia="Times New Roman" w:hAnsi="Times New Roman"/>
          <w:sz w:val="17"/>
          <w:szCs w:val="17"/>
          <w:color w:val="auto"/>
        </w:rPr>
        <w:t>”), the subsidiary guarantors party to the Indenture referred to below (the “</w:t>
      </w:r>
      <w:r>
        <w:rPr>
          <w:rFonts w:ascii="Times New Roman" w:cs="Times New Roman" w:eastAsia="Times New Roman" w:hAnsi="Times New Roman"/>
          <w:sz w:val="17"/>
          <w:szCs w:val="17"/>
          <w:i w:val="1"/>
          <w:iCs w:val="1"/>
          <w:color w:val="auto"/>
        </w:rPr>
        <w:t>Subsidiary Guarantors</w:t>
      </w:r>
      <w:r>
        <w:rPr>
          <w:rFonts w:ascii="Times New Roman" w:cs="Times New Roman" w:eastAsia="Times New Roman" w:hAnsi="Times New Roman"/>
          <w:sz w:val="17"/>
          <w:szCs w:val="17"/>
          <w:color w:val="auto"/>
        </w:rPr>
        <w:t>”) and U.S. Bank Trust Company, National Association, as trustee (the “</w:t>
      </w:r>
      <w:r>
        <w:rPr>
          <w:rFonts w:ascii="Times New Roman" w:cs="Times New Roman" w:eastAsia="Times New Roman" w:hAnsi="Times New Roman"/>
          <w:sz w:val="17"/>
          <w:szCs w:val="17"/>
          <w:i w:val="1"/>
          <w:iCs w:val="1"/>
          <w:color w:val="auto"/>
        </w:rPr>
        <w:t>Trustee</w:t>
      </w:r>
      <w:r>
        <w:rPr>
          <w:rFonts w:ascii="Times New Roman" w:cs="Times New Roman" w:eastAsia="Times New Roman" w:hAnsi="Times New Roman"/>
          <w:sz w:val="17"/>
          <w:szCs w:val="17"/>
          <w:color w:val="auto"/>
        </w:rPr>
        <w:t>”) and collateral trustee (the “</w:t>
      </w:r>
      <w:r>
        <w:rPr>
          <w:rFonts w:ascii="Times New Roman" w:cs="Times New Roman" w:eastAsia="Times New Roman" w:hAnsi="Times New Roman"/>
          <w:sz w:val="17"/>
          <w:szCs w:val="17"/>
          <w:i w:val="1"/>
          <w:iCs w:val="1"/>
          <w:color w:val="auto"/>
        </w:rPr>
        <w:t>Collateral Trustee</w:t>
      </w:r>
      <w:r>
        <w:rPr>
          <w:rFonts w:ascii="Times New Roman" w:cs="Times New Roman" w:eastAsia="Times New Roman" w:hAnsi="Times New Roman"/>
          <w:sz w:val="17"/>
          <w:szCs w:val="17"/>
          <w:color w:val="auto"/>
        </w:rPr>
        <w:t>”) under the Indenture referred to below.</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 I T N E S S E T H</w:t>
      </w:r>
    </w:p>
    <w:p>
      <w:pPr>
        <w:spacing w:after="0" w:line="176" w:lineRule="exact"/>
        <w:rPr>
          <w:sz w:val="20"/>
          <w:szCs w:val="20"/>
          <w:color w:val="auto"/>
        </w:rPr>
      </w:pPr>
    </w:p>
    <w:p>
      <w:pPr>
        <w:jc w:val="both"/>
        <w:ind w:firstLine="509"/>
        <w:spacing w:after="0" w:line="276" w:lineRule="auto"/>
        <w:rPr>
          <w:sz w:val="20"/>
          <w:szCs w:val="20"/>
          <w:color w:val="auto"/>
        </w:rPr>
      </w:pPr>
      <w:r>
        <w:rPr>
          <w:rFonts w:ascii="Times New Roman" w:cs="Times New Roman" w:eastAsia="Times New Roman" w:hAnsi="Times New Roman"/>
          <w:sz w:val="17"/>
          <w:szCs w:val="17"/>
          <w:color w:val="auto"/>
        </w:rPr>
        <w:t>WHEREAS, the Company and Subsidiary Guarantors have heretofore executed and delivered to the Trustee and the Collateral Trustee an indenture (the “</w:t>
      </w:r>
      <w:r>
        <w:rPr>
          <w:rFonts w:ascii="Times New Roman" w:cs="Times New Roman" w:eastAsia="Times New Roman" w:hAnsi="Times New Roman"/>
          <w:sz w:val="17"/>
          <w:szCs w:val="17"/>
          <w:i w:val="1"/>
          <w:iCs w:val="1"/>
          <w:color w:val="auto"/>
        </w:rPr>
        <w:t>Indenture</w:t>
      </w:r>
      <w:r>
        <w:rPr>
          <w:rFonts w:ascii="Times New Roman" w:cs="Times New Roman" w:eastAsia="Times New Roman" w:hAnsi="Times New Roman"/>
          <w:sz w:val="17"/>
          <w:szCs w:val="17"/>
          <w:color w:val="auto"/>
        </w:rPr>
        <w:t>”), dated as of August 4, 2025, providing for the issuance of 10.500% Senior Secured Notes due 2027 (the “</w:t>
      </w:r>
      <w:r>
        <w:rPr>
          <w:rFonts w:ascii="Times New Roman" w:cs="Times New Roman" w:eastAsia="Times New Roman" w:hAnsi="Times New Roman"/>
          <w:sz w:val="17"/>
          <w:szCs w:val="17"/>
          <w:i w:val="1"/>
          <w:iCs w:val="1"/>
          <w:color w:val="auto"/>
        </w:rPr>
        <w:t>Notes</w:t>
      </w:r>
      <w:r>
        <w:rPr>
          <w:rFonts w:ascii="Times New Roman" w:cs="Times New Roman" w:eastAsia="Times New Roman" w:hAnsi="Times New Roman"/>
          <w:sz w:val="17"/>
          <w:szCs w:val="17"/>
          <w:color w:val="auto"/>
        </w:rPr>
        <w:t>”);</w:t>
      </w:r>
    </w:p>
    <w:p>
      <w:pPr>
        <w:spacing w:after="0" w:line="123"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7"/>
          <w:szCs w:val="17"/>
          <w:color w:val="auto"/>
        </w:rPr>
        <w:t>WHEREAS, Section 9.02 of the Indenture provides that, subject to certain exceptions inapplicable hereto, the Company may amend or supplement the Indenture with the consent of the Holders of at least a majority in aggregate principal amount of the outstanding Notes voting as a single class (the “</w:t>
      </w:r>
      <w:r>
        <w:rPr>
          <w:rFonts w:ascii="Times New Roman" w:cs="Times New Roman" w:eastAsia="Times New Roman" w:hAnsi="Times New Roman"/>
          <w:sz w:val="17"/>
          <w:szCs w:val="17"/>
          <w:i w:val="1"/>
          <w:iCs w:val="1"/>
          <w:color w:val="auto"/>
        </w:rPr>
        <w:t>Requisite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Holders</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7"/>
          <w:szCs w:val="17"/>
          <w:color w:val="auto"/>
        </w:rPr>
        <w:t xml:space="preserve">WHEREAS, as evidenced by the Officer’s Certificate delivered to the Trustee by the Company on the date hereof, pursuant to Section 9.05 of the Indenture, the Requisite Holders as of the date hereof have delivered their consents to (i) amend the Indenture as set forth in </w:t>
      </w:r>
      <w:r>
        <w:rPr>
          <w:rFonts w:ascii="Times New Roman" w:cs="Times New Roman" w:eastAsia="Times New Roman" w:hAnsi="Times New Roman"/>
          <w:sz w:val="17"/>
          <w:szCs w:val="17"/>
          <w:u w:val="single" w:color="auto"/>
          <w:color w:val="auto"/>
        </w:rPr>
        <w:t>Article 2</w:t>
      </w:r>
      <w:r>
        <w:rPr>
          <w:rFonts w:ascii="Times New Roman" w:cs="Times New Roman" w:eastAsia="Times New Roman" w:hAnsi="Times New Roman"/>
          <w:sz w:val="17"/>
          <w:szCs w:val="17"/>
          <w:color w:val="auto"/>
        </w:rPr>
        <w:t xml:space="preserve"> herein in accordance with the provisions of the Indenture, (ii) consent to the HC2B Transactions (as defined below), and (iii) waive any potential Default or Event of Default that may have occurred, or that may arise under the Indenture, directly or indirectly, as a result of the HC2B Transactions;</w:t>
      </w:r>
    </w:p>
    <w:p>
      <w:pPr>
        <w:spacing w:after="0" w:line="139" w:lineRule="exact"/>
        <w:rPr>
          <w:sz w:val="20"/>
          <w:szCs w:val="20"/>
          <w:color w:val="auto"/>
        </w:rPr>
      </w:pPr>
    </w:p>
    <w:p>
      <w:pPr>
        <w:jc w:val="both"/>
        <w:ind w:firstLine="509"/>
        <w:spacing w:after="0" w:line="289" w:lineRule="auto"/>
        <w:rPr>
          <w:sz w:val="20"/>
          <w:szCs w:val="20"/>
          <w:color w:val="auto"/>
        </w:rPr>
      </w:pPr>
      <w:r>
        <w:rPr>
          <w:rFonts w:ascii="Times New Roman" w:cs="Times New Roman" w:eastAsia="Times New Roman" w:hAnsi="Times New Roman"/>
          <w:sz w:val="17"/>
          <w:szCs w:val="17"/>
          <w:color w:val="auto"/>
        </w:rPr>
        <w:t>WHEREAS, pursuant to Section 9.05 of the Indenture, the Trustee has received an Officer’s Certificate and an Opinion of Counsel from the Company and is authorized to execute and deliver this Supplemental Indenture; and</w:t>
      </w:r>
    </w:p>
    <w:p>
      <w:pPr>
        <w:spacing w:after="0" w:line="113" w:lineRule="exact"/>
        <w:rPr>
          <w:sz w:val="20"/>
          <w:szCs w:val="20"/>
          <w:color w:val="auto"/>
        </w:rPr>
      </w:pPr>
    </w:p>
    <w:p>
      <w:pPr>
        <w:jc w:val="both"/>
        <w:ind w:firstLine="509"/>
        <w:spacing w:after="0" w:line="276" w:lineRule="auto"/>
        <w:rPr>
          <w:sz w:val="20"/>
          <w:szCs w:val="20"/>
          <w:color w:val="auto"/>
        </w:rPr>
      </w:pPr>
      <w:r>
        <w:rPr>
          <w:rFonts w:ascii="Times New Roman" w:cs="Times New Roman" w:eastAsia="Times New Roman" w:hAnsi="Times New Roman"/>
          <w:sz w:val="17"/>
          <w:szCs w:val="17"/>
          <w:color w:val="auto"/>
        </w:rPr>
        <w:t>WHEREAS, all conditions necessary to authorize the execution and delivery of this Supplemental Indenture and make it a valid and binding obligation of the Company, in accordance with its terms, have been done, performed or waived.</w:t>
      </w:r>
    </w:p>
    <w:p>
      <w:pPr>
        <w:spacing w:after="0" w:line="1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NOW, THEREFORE, in consideration of the foregoing and for other good and valuable consideration, the receipt of which is hereby acknowledged, the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Company and the Trustee covenant and agree for the equal and ratable benefit of the Holders of the Notes as follows:</w:t>
      </w:r>
    </w:p>
    <w:p>
      <w:pPr>
        <w:spacing w:after="0" w:line="169"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7"/>
          <w:szCs w:val="17"/>
          <w:color w:val="auto"/>
        </w:rPr>
        <w:t>ARTICLE 1.</w:t>
      </w:r>
    </w:p>
    <w:p>
      <w:pPr>
        <w:spacing w:after="0" w:line="24"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7"/>
          <w:szCs w:val="17"/>
          <w:color w:val="auto"/>
        </w:rPr>
        <w:t>DEFINITIONS</w:t>
      </w:r>
    </w:p>
    <w:p>
      <w:pPr>
        <w:spacing w:after="0" w:line="154" w:lineRule="exact"/>
        <w:rPr>
          <w:sz w:val="20"/>
          <w:szCs w:val="20"/>
          <w:color w:val="auto"/>
        </w:rPr>
      </w:pPr>
    </w:p>
    <w:p>
      <w:pPr>
        <w:ind w:left="200"/>
        <w:spacing w:after="0"/>
        <w:tabs>
          <w:tab w:leader="none" w:pos="1240" w:val="left"/>
        </w:tabs>
        <w:rPr>
          <w:sz w:val="20"/>
          <w:szCs w:val="20"/>
          <w:color w:val="auto"/>
        </w:rPr>
      </w:pPr>
      <w:r>
        <w:rPr>
          <w:rFonts w:ascii="Times New Roman" w:cs="Times New Roman" w:eastAsia="Times New Roman" w:hAnsi="Times New Roman"/>
          <w:sz w:val="17"/>
          <w:szCs w:val="17"/>
          <w:color w:val="auto"/>
        </w:rPr>
        <w:t>Section 1.01</w:t>
      </w:r>
      <w:r>
        <w:rPr>
          <w:sz w:val="20"/>
          <w:szCs w:val="20"/>
          <w:color w:val="auto"/>
        </w:rPr>
        <w:tab/>
      </w:r>
      <w:r>
        <w:rPr>
          <w:rFonts w:ascii="Times New Roman" w:cs="Times New Roman" w:eastAsia="Times New Roman" w:hAnsi="Times New Roman"/>
          <w:sz w:val="16"/>
          <w:szCs w:val="16"/>
          <w:i w:val="1"/>
          <w:iCs w:val="1"/>
          <w:color w:val="auto"/>
        </w:rPr>
        <w:t>Capitalized Terms</w:t>
      </w:r>
      <w:r>
        <w:rPr>
          <w:rFonts w:ascii="Times New Roman" w:cs="Times New Roman" w:eastAsia="Times New Roman" w:hAnsi="Times New Roman"/>
          <w:sz w:val="16"/>
          <w:szCs w:val="16"/>
          <w:color w:val="auto"/>
        </w:rPr>
        <w:t>. Capitalized terms used herein without definition shall have the meanings assigned to them in the Indenture.</w:t>
      </w:r>
    </w:p>
    <w:p>
      <w:pPr>
        <w:sectPr>
          <w:pgSz w:w="11900" w:h="16838" w:orient="portrait"/>
          <w:cols w:equalWidth="0" w:num="1">
            <w:col w:w="11280"/>
          </w:cols>
          <w:pgMar w:left="300" w:top="125" w:right="319" w:bottom="1440" w:gutter="0" w:footer="0" w:header="0"/>
        </w:sectPr>
      </w:pPr>
    </w:p>
    <w:bookmarkStart w:id="181" w:name="page182"/>
    <w:bookmarkEnd w:id="181"/>
    <w:p>
      <w:pPr>
        <w:jc w:val="center"/>
        <w:ind w:right="-319"/>
        <w:spacing w:after="0"/>
        <w:rPr>
          <w:sz w:val="20"/>
          <w:szCs w:val="20"/>
          <w:color w:val="auto"/>
        </w:rPr>
      </w:pPr>
      <w:r>
        <w:rPr>
          <w:rFonts w:ascii="Times New Roman" w:cs="Times New Roman" w:eastAsia="Times New Roman" w:hAnsi="Times New Roman"/>
          <w:sz w:val="17"/>
          <w:szCs w:val="17"/>
          <w:color w:val="auto"/>
        </w:rPr>
        <w:t>ARTICLE 2.</w:t>
      </w:r>
    </w:p>
    <w:p>
      <w:pPr>
        <w:spacing w:after="0" w:line="2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AMENDMENTS</w:t>
      </w:r>
    </w:p>
    <w:p>
      <w:pPr>
        <w:spacing w:after="0" w:line="175"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7"/>
          <w:szCs w:val="17"/>
          <w:color w:val="auto"/>
        </w:rPr>
        <w:t>Section 2.01</w:t>
      </w:r>
      <w:r>
        <w:rPr>
          <w:sz w:val="20"/>
          <w:szCs w:val="20"/>
          <w:color w:val="auto"/>
        </w:rPr>
        <w:tab/>
      </w:r>
      <w:r>
        <w:rPr>
          <w:rFonts w:ascii="Times New Roman" w:cs="Times New Roman" w:eastAsia="Times New Roman" w:hAnsi="Times New Roman"/>
          <w:sz w:val="16"/>
          <w:szCs w:val="16"/>
          <w:i w:val="1"/>
          <w:iCs w:val="1"/>
          <w:color w:val="auto"/>
        </w:rPr>
        <w:t>Amendments to Indenture</w:t>
      </w:r>
      <w:r>
        <w:rPr>
          <w:rFonts w:ascii="Times New Roman" w:cs="Times New Roman" w:eastAsia="Times New Roman" w:hAnsi="Times New Roman"/>
          <w:sz w:val="16"/>
          <w:szCs w:val="16"/>
          <w:color w:val="auto"/>
        </w:rPr>
        <w:t>. The terms of the Indenture shall be amended as set forth in this Article 2.</w:t>
      </w:r>
    </w:p>
    <w:p>
      <w:pPr>
        <w:spacing w:after="0" w:line="180" w:lineRule="exact"/>
        <w:rPr>
          <w:sz w:val="20"/>
          <w:szCs w:val="20"/>
          <w:color w:val="auto"/>
        </w:rPr>
      </w:pPr>
    </w:p>
    <w:p>
      <w:pPr>
        <w:ind w:left="620" w:hanging="306"/>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1.01 of the Indenture is hereby amended by:</w:t>
      </w:r>
    </w:p>
    <w:p>
      <w:pPr>
        <w:spacing w:after="0" w:line="1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(i) adding the following definitions in their relevant alphabetical location:</w:t>
      </w:r>
    </w:p>
    <w:p>
      <w:pPr>
        <w:spacing w:after="0" w:line="17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New HC2 HoldCo</w:t>
      </w:r>
      <w:r>
        <w:rPr>
          <w:rFonts w:ascii="Times New Roman" w:cs="Times New Roman" w:eastAsia="Times New Roman" w:hAnsi="Times New Roman"/>
          <w:sz w:val="17"/>
          <w:szCs w:val="17"/>
          <w:color w:val="auto"/>
        </w:rPr>
        <w:t>” means HC2 Broadcasting Holdco, LLC, a Delaware limited liability company.</w:t>
      </w:r>
    </w:p>
    <w:p>
      <w:pPr>
        <w:spacing w:after="0" w:line="17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HC2B</w:t>
      </w:r>
      <w:r>
        <w:rPr>
          <w:rFonts w:ascii="Times New Roman" w:cs="Times New Roman" w:eastAsia="Times New Roman" w:hAnsi="Times New Roman"/>
          <w:sz w:val="17"/>
          <w:szCs w:val="17"/>
          <w:color w:val="auto"/>
        </w:rPr>
        <w:t>” means, collectively, New HC2 HoldCo and its Subsidiaries.</w:t>
      </w:r>
    </w:p>
    <w:p>
      <w:pPr>
        <w:spacing w:after="0" w:line="176" w:lineRule="exact"/>
        <w:rPr>
          <w:sz w:val="20"/>
          <w:szCs w:val="20"/>
          <w:color w:val="auto"/>
        </w:rPr>
      </w:pPr>
    </w:p>
    <w:p>
      <w:pPr>
        <w:jc w:val="both"/>
        <w:ind w:left="560" w:firstLine="509"/>
        <w:spacing w:after="0" w:line="26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HC2B Merger Agreement</w:t>
      </w:r>
      <w:r>
        <w:rPr>
          <w:rFonts w:ascii="Times New Roman" w:cs="Times New Roman" w:eastAsia="Times New Roman" w:hAnsi="Times New Roman"/>
          <w:sz w:val="17"/>
          <w:szCs w:val="17"/>
          <w:color w:val="auto"/>
        </w:rPr>
        <w:t>” means that certain Agreement and Plan of Merger, by and among CONX Corp., a Nevada corporation, HC2 Merger Sub, LLC, a Delaware limited liability company, HC2, New HC2 HoldCo, and HC2 Broadcasting Holdings Inc., a Delaware corporation, as amended, restated, supplemented or otherwise modified or replaced from time to time.</w:t>
      </w:r>
    </w:p>
    <w:p>
      <w:pPr>
        <w:spacing w:after="0" w:line="140" w:lineRule="exact"/>
        <w:rPr>
          <w:sz w:val="20"/>
          <w:szCs w:val="20"/>
          <w:color w:val="auto"/>
        </w:rPr>
      </w:pPr>
    </w:p>
    <w:p>
      <w:pPr>
        <w:jc w:val="both"/>
        <w:ind w:left="560" w:firstLine="509"/>
        <w:spacing w:after="0" w:line="26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HC2 Sale</w:t>
      </w:r>
      <w:r>
        <w:rPr>
          <w:rFonts w:ascii="Times New Roman" w:cs="Times New Roman" w:eastAsia="Times New Roman" w:hAnsi="Times New Roman"/>
          <w:sz w:val="17"/>
          <w:szCs w:val="17"/>
          <w:color w:val="auto"/>
        </w:rPr>
        <w:t>” means the sale or disposition by the Company and its Subsidiaries of an amount of equity in New HC2 HoldCo equal to 75% (or more than 75% by way of a purchase price adjustment or indemnity claim) of the combined equity of New HC2 HoldCo following the HC2 Sale pursuant to the HC2B Merger Agreement.</w:t>
      </w:r>
    </w:p>
    <w:p>
      <w:pPr>
        <w:spacing w:after="0" w:line="129" w:lineRule="exact"/>
        <w:rPr>
          <w:sz w:val="20"/>
          <w:szCs w:val="20"/>
          <w:color w:val="auto"/>
        </w:rPr>
      </w:pPr>
    </w:p>
    <w:p>
      <w:pPr>
        <w:jc w:val="both"/>
        <w:ind w:left="560" w:firstLine="509"/>
        <w:spacing w:after="0" w:line="25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CONX Loan Agreement</w:t>
      </w:r>
      <w:r>
        <w:rPr>
          <w:rFonts w:ascii="Times New Roman" w:cs="Times New Roman" w:eastAsia="Times New Roman" w:hAnsi="Times New Roman"/>
          <w:sz w:val="17"/>
          <w:szCs w:val="17"/>
          <w:color w:val="auto"/>
        </w:rPr>
        <w:t>” means that certain Loan Agreement, dated as of May 29, 2026, by and among, HC2 Broadcasting Holdings Inc., a Delaware corporation, New HC2 HoldCo, a Delaware corporation, HC2 Broadcasting Intermediate Holdings Inc., a Delaware corporation, HC2 Station Group, Inc., a Delaware corporation, HC2 Network, Inc., a Delaware corporation, HC2 Broadcasting Inc., a Delaware corporation, DTV America Corporation, a Delaware corporation, the other guarantors from time to time party thereto and HC2 Merger Sub, LLC, a Delaware limited liability company, as the lender.</w:t>
      </w:r>
    </w:p>
    <w:p>
      <w:pPr>
        <w:spacing w:after="0" w:line="134" w:lineRule="exact"/>
        <w:rPr>
          <w:sz w:val="20"/>
          <w:szCs w:val="20"/>
          <w:color w:val="auto"/>
        </w:rPr>
      </w:pPr>
    </w:p>
    <w:p>
      <w:pPr>
        <w:jc w:val="both"/>
        <w:ind w:left="560" w:firstLine="509"/>
        <w:spacing w:after="0" w:line="26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EchoStar Side Letter</w:t>
      </w:r>
      <w:r>
        <w:rPr>
          <w:rFonts w:ascii="Times New Roman" w:cs="Times New Roman" w:eastAsia="Times New Roman" w:hAnsi="Times New Roman"/>
          <w:sz w:val="17"/>
          <w:szCs w:val="17"/>
          <w:color w:val="auto"/>
        </w:rPr>
        <w:t>” means that certain letter agreement, dated as of May 29, 2026, by and among, CONX Corp., a Nevada Corporation, EchoStar Corporation, a Nevada corporation (“EchoStar”), and the Company, as amended, restated, supplemented or otherwise modified or replaced from time to time, granting Echostar the option for a period ending on the date that is two years following the date thereof to acquire up to 80.1% of the equity interests of HC2 Broadcasting Holdings Inc.</w:t>
      </w:r>
    </w:p>
    <w:p>
      <w:pPr>
        <w:spacing w:after="0" w:line="130" w:lineRule="exact"/>
        <w:rPr>
          <w:sz w:val="20"/>
          <w:szCs w:val="20"/>
          <w:color w:val="auto"/>
        </w:rPr>
      </w:pPr>
    </w:p>
    <w:p>
      <w:pPr>
        <w:jc w:val="both"/>
        <w:ind w:left="560" w:firstLine="509"/>
        <w:spacing w:after="0" w:line="26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HC2B Transactions</w:t>
      </w:r>
      <w:r>
        <w:rPr>
          <w:rFonts w:ascii="Times New Roman" w:cs="Times New Roman" w:eastAsia="Times New Roman" w:hAnsi="Times New Roman"/>
          <w:sz w:val="17"/>
          <w:szCs w:val="17"/>
          <w:color w:val="auto"/>
        </w:rPr>
        <w:t>” means, collectively, (a) the entry by the Company, the guarantors party thereto and the trustee under the New Convertible Secured Notes Indenture into a supplemental indenture to the New Convertible Secured Notes Indenture, dated as of May 29, 2026, the performance of the obligations thereunder and the consent solicitation process undertaken with respect thereto, (b) the entry by</w:t>
      </w:r>
    </w:p>
    <w:p>
      <w:pPr>
        <w:sectPr>
          <w:pgSz w:w="11900" w:h="16838" w:orient="portrait"/>
          <w:cols w:equalWidth="0" w:num="1">
            <w:col w:w="11080"/>
          </w:cols>
          <w:pgMar w:left="500" w:top="946" w:right="319" w:bottom="1440" w:gutter="0" w:footer="0" w:header="0"/>
        </w:sectPr>
      </w:pPr>
    </w:p>
    <w:bookmarkStart w:id="182" w:name="page183"/>
    <w:bookmarkEnd w:id="182"/>
    <w:p>
      <w:pPr>
        <w:jc w:val="both"/>
        <w:spacing w:after="0" w:line="251" w:lineRule="auto"/>
        <w:rPr>
          <w:sz w:val="20"/>
          <w:szCs w:val="20"/>
          <w:color w:val="auto"/>
        </w:rPr>
      </w:pPr>
      <w:r>
        <w:rPr>
          <w:rFonts w:ascii="Times New Roman" w:cs="Times New Roman" w:eastAsia="Times New Roman" w:hAnsi="Times New Roman"/>
          <w:sz w:val="17"/>
          <w:szCs w:val="17"/>
          <w:color w:val="auto"/>
        </w:rPr>
        <w:t xml:space="preserve">the Company, the guarantors party thereto and the lender under the Revolving Credit Agreement (as such Revolving Credit Agreement may be amended prior to the date hereof, the </w:t>
      </w:r>
      <w:r>
        <w:rPr>
          <w:rFonts w:ascii="Times New Roman" w:cs="Times New Roman" w:eastAsia="Times New Roman" w:hAnsi="Times New Roman"/>
          <w:sz w:val="17"/>
          <w:szCs w:val="17"/>
          <w:i w:val="1"/>
          <w:iCs w:val="1"/>
          <w:color w:val="auto"/>
        </w:rPr>
        <w:t>“Credit Agreement</w:t>
      </w:r>
      <w:r>
        <w:rPr>
          <w:rFonts w:ascii="Times New Roman" w:cs="Times New Roman" w:eastAsia="Times New Roman" w:hAnsi="Times New Roman"/>
          <w:sz w:val="17"/>
          <w:szCs w:val="17"/>
          <w:color w:val="auto"/>
        </w:rPr>
        <w:t xml:space="preserve">”) into a limited waiver and amendment to the Credit Agreement, dated as of May 29, 2026 and the performance of the obligations thereunder, (c) the formation of New HC2 HoldCo as a Wholly Owned Domestic Subsidiary of Innovate 2 Corp., a Delaware corporation, (d) the contribution by Innovate 2 Corp. of its Equity Interests in HC2B Broadcasting Holdings Inc. and its subsidiaries to New HC2 HoldCo, (e) the entry by HC2B into the CONX Loan Agreement and the other Loan Documents (as defined therein), the occurrence of the funding thereunder and the performance of the obligations thereunder, (f) the prepayment of $121,760,978 of Indebtedness under the Existing Spectrum Promissory Notes with the loan proceeds advanced under the CONX Loan Agreement, (g) the pledge by New HC2 HoldCo to secure the Indebtedness incurred pursuant to the CONX Loan Agreement, (h) the entry by the Company into that certain Purchase Option Agreement, dated as of May 29, 2026 (the “Purchase Option Agreement”), by and between HC2 Merger Sub, LLC, a Delaware limited liability company, the performance of the obligations thereunder and the exercise by the Company of the purchase rights granted thereunder, (i) the entry by CONX Corp., a Nevada Corporation, HC2 Merger Sub, LLC, a Delaware limited liability company, HC2 Broadcasting Holdco, LLC, a Delaware limited liability company, and HC2 Broadcasting Holdings Inc. into the HC2B Merger Agreement, (j) the HC2B Sale, (k) the disposition by the Borrower to HC2B of (1) domain names and (2) other assets immaterial to the Borrower, in each case used primarily in the business of HC2B, (l) the subordination of that certain intercompany note, dated as of April 30, 2019, by HC2 Broadcasting Holdings Inc. in favor of Innovate 2 Corp. to the CONX Loan Agreement, (m) the entry by the Company into the EchoStar Side Letter, the performance of the obligations thereunder and the exercise by EchoStar of the purchase rights granted thereunder and (n) the payment of all fees and expenses related thereto;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this defined term, HC2B Transactions, shall not include any amendments, supplements, modifications, waivers or replacements to the documentation, agreements, supplements, waivers or consents referenced herein unless any such amendment, supplement, modification, waiver or replacement is effectuated in compliance with Section 3.03 hereof.</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(ii) replacing the definition of “Excluded Subsidiary” in its entirety with the following definition:</w:t>
      </w:r>
    </w:p>
    <w:p>
      <w:pPr>
        <w:spacing w:after="0" w:line="17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Excluded Subsidiary</w:t>
      </w:r>
      <w:r>
        <w:rPr>
          <w:rFonts w:ascii="Times New Roman" w:cs="Times New Roman" w:eastAsia="Times New Roman" w:hAnsi="Times New Roman"/>
          <w:sz w:val="17"/>
          <w:szCs w:val="17"/>
          <w:color w:val="auto"/>
        </w:rPr>
        <w:t>” means (1) any Subsidiary that is not a Wholly Owned Subsidiary of the Company or a Subsidiary Guarantor, (2) any Foreign Subsidiary, (3) any Immaterial Subsidiary, (4) any Insurance Subsidiary, (5) any Subsidiary, including any regulated entity that is subject to net worth or net capital or similar capital and surplus restrictions, that is prohibited or restricted by applicable law or by contractual obligation (including in respect of assumed Debt permitted hereunder) existing on the Issue Date (or, with respect to any Subsidiary acquired by the Company or a Subsidiary after the Issue Date (and so long as such contractual obligation was not incurred in contemplation of such acquisition), on the date such Subsidiary is so acquired) from providing a Notes Guarantee, or if such Notes</w:t>
      </w:r>
    </w:p>
    <w:p>
      <w:pPr>
        <w:sectPr>
          <w:pgSz w:w="11900" w:h="16838" w:orient="portrait"/>
          <w:cols w:equalWidth="0" w:num="1">
            <w:col w:w="10520"/>
          </w:cols>
          <w:pgMar w:left="1060" w:top="946" w:right="319" w:bottom="1440" w:gutter="0" w:footer="0" w:header="0"/>
        </w:sectPr>
      </w:pPr>
    </w:p>
    <w:bookmarkStart w:id="183" w:name="page184"/>
    <w:bookmarkEnd w:id="183"/>
    <w:p>
      <w:pPr>
        <w:jc w:val="both"/>
        <w:spacing w:after="0" w:line="258" w:lineRule="auto"/>
        <w:rPr>
          <w:sz w:val="20"/>
          <w:szCs w:val="20"/>
          <w:color w:val="auto"/>
        </w:rPr>
      </w:pPr>
      <w:r>
        <w:rPr>
          <w:rFonts w:ascii="Times New Roman" w:cs="Times New Roman" w:eastAsia="Times New Roman" w:hAnsi="Times New Roman"/>
          <w:sz w:val="17"/>
          <w:szCs w:val="17"/>
          <w:color w:val="auto"/>
        </w:rPr>
        <w:t>Guarantee would require governmental (including regulatory) or third party (other than the Company, any of the Subsidiary Guarantors or any of their Subsidiaries) consent, approval, license or authorization, (6) excluding any Subsidiary Guarantor as of the date hereof, any other Subsidiary with respect to which, in the reasonable judgment of the Company set forth in a notice delivered to the Trustee, the burden or cost (including any adverse tax consequences) of providing the Notes Guarantee will outweigh the benefits to be obtained by the Holders therefrom, (7) any Operating Subsidiary and (8) New HC2 HoldCo.</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(iii) replacing the definition of “Permitted Transactions” in its entirety with the following definition:</w:t>
      </w:r>
    </w:p>
    <w:p>
      <w:pPr>
        <w:spacing w:after="0" w:line="172"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Permitted Transactions</w:t>
      </w:r>
      <w:r>
        <w:rPr>
          <w:rFonts w:ascii="Times New Roman" w:cs="Times New Roman" w:eastAsia="Times New Roman" w:hAnsi="Times New Roman"/>
          <w:sz w:val="17"/>
          <w:szCs w:val="17"/>
          <w:color w:val="auto"/>
        </w:rPr>
        <w:t>” means (a) mortgage-backed security transactions in which an investor sells mortgage collateral, such as securities issued by the Government National Mortgage Association and the Federal Home Loan Mortgage Corporation, for delivery in the current month while simultaneously contracting to repurchase “substantially the same” (as determined by the Public Securities Association and GAAP) collateral for a later settlement, (b) transactions in which an investor lends cash to a primary dealer and the primary dealer collateralizes the borrowing of the cash with certain securities, (c) transactions in which an investor lends securities to a primary dealer and the primary dealer collateralizes the borrowing of the securities with cash collateral, (d) transactions in which an investor makes loans of securities to a broker-dealer under an agreement requiring such loans to be continuously secured by cash collateral or United States government securities, (e) transactions structured as, and submitted to the NAIC Security Valuation Office for approval as, Replication (Synthetic Asset) Transactions (RSAT) (provided that, to the extent that such approval is not granted in respect of any such transaction, such transaction shall cease to constitute a Permitted Transaction 30 days following the date of such rejection, denial or non-approval), (f) transactions in which a federal home loan mortgage bank (an “FHLMB”) makes loans to an Insurance Subsidiary, that are sufficiently secured by appropriate assets of such Insurance Subsidiary in accordance with the rules, regulations and guidelines of such FHLMB for its loan programs and (g) the HC2B Transactions.</w:t>
      </w:r>
    </w:p>
    <w:p>
      <w:pPr>
        <w:spacing w:after="0" w:line="151" w:lineRule="exact"/>
        <w:rPr>
          <w:sz w:val="20"/>
          <w:szCs w:val="20"/>
          <w:color w:val="auto"/>
        </w:rPr>
      </w:pPr>
    </w:p>
    <w:p>
      <w:pPr>
        <w:ind w:left="300" w:hanging="291"/>
        <w:spacing w:after="0"/>
        <w:tabs>
          <w:tab w:leader="none" w:pos="3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modifying the definition of “Permitted Liens” by (a) deleting the “and” at the end of clause (20) thereof, (b) inserting an “and” at the end of clause</w:t>
      </w:r>
    </w:p>
    <w:p>
      <w:pPr>
        <w:spacing w:after="0" w:line="23"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(21) thereof and (c) inserting a new clause (22) at the of the definition of “Permitted Liens” as follows:</w:t>
      </w:r>
    </w:p>
    <w:p>
      <w:pPr>
        <w:spacing w:after="0" w:line="169" w:lineRule="exact"/>
        <w:rPr>
          <w:sz w:val="20"/>
          <w:szCs w:val="20"/>
          <w:color w:val="auto"/>
        </w:rPr>
      </w:pPr>
    </w:p>
    <w:p>
      <w:pPr>
        <w:ind w:left="260"/>
        <w:spacing w:after="0" w:line="276" w:lineRule="auto"/>
        <w:rPr>
          <w:sz w:val="20"/>
          <w:szCs w:val="20"/>
          <w:color w:val="auto"/>
        </w:rPr>
      </w:pPr>
      <w:r>
        <w:rPr>
          <w:rFonts w:ascii="Times New Roman" w:cs="Times New Roman" w:eastAsia="Times New Roman" w:hAnsi="Times New Roman"/>
          <w:sz w:val="17"/>
          <w:szCs w:val="17"/>
          <w:color w:val="auto"/>
        </w:rPr>
        <w:t>“(22) Liens on property or the Equity Interests of New HC2 HoldCo and HC2B securing the Obligations in respect of the CONX Loan Agreement and any Permitted Refinancing Debt thereof.”</w:t>
      </w:r>
    </w:p>
    <w:p>
      <w:pPr>
        <w:spacing w:after="0" w:line="123" w:lineRule="exact"/>
        <w:rPr>
          <w:sz w:val="20"/>
          <w:szCs w:val="20"/>
          <w:color w:val="auto"/>
        </w:rPr>
      </w:pPr>
    </w:p>
    <w:p>
      <w:pPr>
        <w:ind w:firstLine="9"/>
        <w:spacing w:after="0" w:line="276" w:lineRule="auto"/>
        <w:tabs>
          <w:tab w:leader="none" w:pos="299"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modifying the definition of “Permitted Investments” by (a) deleting the “and” at the end of clause (20) thereof, (b) inserting an “and” at the end of clause (21) thereof and (c) inserting a new clause (22) at the of the definition of “Permitted Investments” as follows:</w:t>
      </w:r>
    </w:p>
    <w:p>
      <w:pPr>
        <w:sectPr>
          <w:pgSz w:w="11900" w:h="16838" w:orient="portrait"/>
          <w:cols w:equalWidth="0" w:num="1">
            <w:col w:w="10520"/>
          </w:cols>
          <w:pgMar w:left="1060" w:top="946" w:right="319" w:bottom="1440" w:gutter="0" w:footer="0" w:header="0"/>
        </w:sectPr>
      </w:pPr>
    </w:p>
    <w:bookmarkStart w:id="184" w:name="page185"/>
    <w:bookmarkEnd w:id="184"/>
    <w:p>
      <w:pPr>
        <w:ind w:left="1020"/>
        <w:spacing w:after="0"/>
        <w:rPr>
          <w:sz w:val="20"/>
          <w:szCs w:val="20"/>
          <w:color w:val="auto"/>
        </w:rPr>
      </w:pPr>
      <w:r>
        <w:rPr>
          <w:rFonts w:ascii="Times New Roman" w:cs="Times New Roman" w:eastAsia="Times New Roman" w:hAnsi="Times New Roman"/>
          <w:sz w:val="17"/>
          <w:szCs w:val="17"/>
          <w:color w:val="auto"/>
        </w:rPr>
        <w:t>“(22) to the extent constituting an Investment, the HC2B Transactions.</w:t>
      </w:r>
    </w:p>
    <w:p>
      <w:pPr>
        <w:spacing w:after="0" w:line="24" w:lineRule="exact"/>
        <w:rPr>
          <w:sz w:val="20"/>
          <w:szCs w:val="20"/>
          <w:color w:val="auto"/>
        </w:rPr>
      </w:pPr>
    </w:p>
    <w:p>
      <w:pPr>
        <w:jc w:val="both"/>
        <w:ind w:left="1020"/>
        <w:spacing w:after="0" w:line="251" w:lineRule="auto"/>
        <w:rPr>
          <w:sz w:val="20"/>
          <w:szCs w:val="20"/>
          <w:color w:val="auto"/>
        </w:rPr>
      </w:pPr>
      <w:r>
        <w:rPr>
          <w:rFonts w:ascii="Times New Roman" w:cs="Times New Roman" w:eastAsia="Times New Roman" w:hAnsi="Times New Roman"/>
          <w:sz w:val="17"/>
          <w:szCs w:val="17"/>
          <w:color w:val="auto"/>
        </w:rPr>
        <w:t>Notwithstanding the foregoing, for so long as any of the Notes remain outstanding, the Company will not exercise the purchase rights granted to it under the Purchase Option Agreement without the consent of the Holders of at least a majority in aggregate principal amount of the Notes then outstanding voting as a single class.”</w:t>
      </w:r>
    </w:p>
    <w:p>
      <w:pPr>
        <w:spacing w:after="0" w:line="154" w:lineRule="exact"/>
        <w:rPr>
          <w:sz w:val="20"/>
          <w:szCs w:val="20"/>
          <w:color w:val="auto"/>
        </w:rPr>
      </w:pPr>
    </w:p>
    <w:p>
      <w:pPr>
        <w:ind w:left="1000" w:hanging="231"/>
        <w:spacing w:after="0"/>
        <w:tabs>
          <w:tab w:leader="none" w:pos="1000"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modifying the definition of “Asset Sale” by inserting a new sentence at the end of such definition as follows:</w:t>
      </w:r>
    </w:p>
    <w:p>
      <w:pPr>
        <w:spacing w:after="0" w:line="175" w:lineRule="exact"/>
        <w:rPr>
          <w:rFonts w:ascii="Times New Roman" w:cs="Times New Roman" w:eastAsia="Times New Roman" w:hAnsi="Times New Roman"/>
          <w:sz w:val="17"/>
          <w:szCs w:val="17"/>
          <w:color w:val="auto"/>
        </w:rPr>
      </w:pPr>
    </w:p>
    <w:p>
      <w:pPr>
        <w:ind w:left="10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avoidance of doubt, any transfer of Equity Interests held by New HC2 HoldCo shall constitute a disposition hereunder.”</w:t>
      </w:r>
    </w:p>
    <w:p>
      <w:pPr>
        <w:spacing w:after="0" w:line="175" w:lineRule="exact"/>
        <w:rPr>
          <w:rFonts w:ascii="Times New Roman" w:cs="Times New Roman" w:eastAsia="Times New Roman" w:hAnsi="Times New Roman"/>
          <w:sz w:val="17"/>
          <w:szCs w:val="17"/>
          <w:color w:val="auto"/>
        </w:rPr>
      </w:pPr>
    </w:p>
    <w:p>
      <w:pPr>
        <w:ind w:left="860" w:hanging="346"/>
        <w:spacing w:after="0"/>
        <w:tabs>
          <w:tab w:leader="none" w:pos="8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4.11(b) of the Indenture shall be amended by (i) deleting the “and” at the end of clause (21) thereof, (ii) inserting an “and” at the end of clause</w:t>
      </w:r>
    </w:p>
    <w:p>
      <w:pPr>
        <w:spacing w:after="0" w:line="23" w:lineRule="exact"/>
        <w:rPr>
          <w:rFonts w:ascii="Times New Roman" w:cs="Times New Roman" w:eastAsia="Times New Roman" w:hAnsi="Times New Roman"/>
          <w:sz w:val="17"/>
          <w:szCs w:val="17"/>
          <w:color w:val="auto"/>
        </w:rPr>
      </w:pPr>
    </w:p>
    <w:p>
      <w:pPr>
        <w:ind w:left="7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(22) thereof and (iii) inserting a new clause (23) at the end of Section 4.11(b) as follows:</w:t>
      </w:r>
    </w:p>
    <w:p>
      <w:pPr>
        <w:spacing w:after="0" w:line="1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“(23) Debt Incurred pursuant to the CONX Loan Agreement and Permitted Refinancing Debt thereof.”</w:t>
      </w:r>
    </w:p>
    <w:p>
      <w:pPr>
        <w:spacing w:after="0" w:line="176" w:lineRule="exact"/>
        <w:rPr>
          <w:sz w:val="20"/>
          <w:szCs w:val="20"/>
          <w:color w:val="auto"/>
        </w:rPr>
      </w:pPr>
    </w:p>
    <w:p>
      <w:pPr>
        <w:ind w:left="760" w:hanging="246"/>
        <w:spacing w:after="0" w:line="289" w:lineRule="auto"/>
        <w:tabs>
          <w:tab w:leader="none" w:pos="813"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6.01 of the Indenture shall be amended by (i) deleting the “or” at the end of clause (i) thereof, (ii) inserting an “or” at the end of clause (j) thereof and (iii) inserting a new clause (k) as follows:</w:t>
      </w:r>
    </w:p>
    <w:p>
      <w:pPr>
        <w:spacing w:after="0" w:line="113" w:lineRule="exact"/>
        <w:rPr>
          <w:sz w:val="20"/>
          <w:szCs w:val="20"/>
          <w:color w:val="auto"/>
        </w:rPr>
      </w:pPr>
    </w:p>
    <w:p>
      <w:pPr>
        <w:jc w:val="both"/>
        <w:ind w:left="1020"/>
        <w:spacing w:after="0" w:line="257" w:lineRule="auto"/>
        <w:rPr>
          <w:sz w:val="20"/>
          <w:szCs w:val="20"/>
          <w:color w:val="auto"/>
        </w:rPr>
      </w:pPr>
      <w:r>
        <w:rPr>
          <w:rFonts w:ascii="Times New Roman" w:cs="Times New Roman" w:eastAsia="Times New Roman" w:hAnsi="Times New Roman"/>
          <w:sz w:val="17"/>
          <w:szCs w:val="17"/>
          <w:color w:val="auto"/>
        </w:rPr>
        <w:t>“(k) the Company or any of its Subsidiaries or Affiliates enters into or facilitates, any amendment, supplement, waiver, replacement, or any other modification to any documentation, agreements, amendments, agreements, waivers or consents referenced in, or related to the transactions described in, the definition of “HC2B Transactions” that adversely affects the rights or interests of the Holders of the Notes without the consent of the Holders of at least a majority in aggregate principal amount of the Notes then outstanding voting as a single class.”</w:t>
      </w:r>
    </w:p>
    <w:p>
      <w:pPr>
        <w:spacing w:after="0" w:line="149"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7"/>
          <w:szCs w:val="17"/>
          <w:color w:val="auto"/>
        </w:rPr>
        <w:t>ARTICLE 3.</w:t>
      </w:r>
    </w:p>
    <w:p>
      <w:pPr>
        <w:spacing w:after="0" w:line="24"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7"/>
          <w:szCs w:val="17"/>
          <w:color w:val="auto"/>
        </w:rPr>
        <w:t>CONSENT AND WAIVER</w:t>
      </w:r>
    </w:p>
    <w:p>
      <w:pPr>
        <w:spacing w:after="0" w:line="154" w:lineRule="exact"/>
        <w:rPr>
          <w:sz w:val="20"/>
          <w:szCs w:val="20"/>
          <w:color w:val="auto"/>
        </w:rPr>
      </w:pPr>
    </w:p>
    <w:p>
      <w:pPr>
        <w:ind w:left="200"/>
        <w:spacing w:after="0"/>
        <w:tabs>
          <w:tab w:leader="none" w:pos="1200" w:val="left"/>
        </w:tabs>
        <w:rPr>
          <w:sz w:val="20"/>
          <w:szCs w:val="20"/>
          <w:color w:val="auto"/>
        </w:rPr>
      </w:pPr>
      <w:r>
        <w:rPr>
          <w:rFonts w:ascii="Times New Roman" w:cs="Times New Roman" w:eastAsia="Times New Roman" w:hAnsi="Times New Roman"/>
          <w:sz w:val="17"/>
          <w:szCs w:val="17"/>
          <w:color w:val="auto"/>
        </w:rPr>
        <w:t>Section 3.01</w:t>
      </w:r>
      <w:r>
        <w:rPr>
          <w:sz w:val="20"/>
          <w:szCs w:val="20"/>
          <w:color w:val="auto"/>
        </w:rPr>
        <w:tab/>
      </w:r>
      <w:r>
        <w:rPr>
          <w:rFonts w:ascii="Times New Roman" w:cs="Times New Roman" w:eastAsia="Times New Roman" w:hAnsi="Times New Roman"/>
          <w:sz w:val="16"/>
          <w:szCs w:val="16"/>
          <w:i w:val="1"/>
          <w:iCs w:val="1"/>
          <w:color w:val="auto"/>
        </w:rPr>
        <w:t>Consent</w:t>
      </w:r>
      <w:r>
        <w:rPr>
          <w:rFonts w:ascii="Times New Roman" w:cs="Times New Roman" w:eastAsia="Times New Roman" w:hAnsi="Times New Roman"/>
          <w:sz w:val="16"/>
          <w:szCs w:val="16"/>
          <w:color w:val="auto"/>
        </w:rPr>
        <w:t>. Any and all of the HC2B Transactions are hereby irrevocably consented to in all respects.</w:t>
      </w:r>
    </w:p>
    <w:p>
      <w:pPr>
        <w:spacing w:after="0" w:line="176" w:lineRule="exact"/>
        <w:rPr>
          <w:sz w:val="20"/>
          <w:szCs w:val="20"/>
          <w:color w:val="auto"/>
        </w:rPr>
      </w:pPr>
    </w:p>
    <w:p>
      <w:pPr>
        <w:jc w:val="both"/>
        <w:ind w:firstLine="191"/>
        <w:spacing w:after="0" w:line="281" w:lineRule="auto"/>
        <w:rPr>
          <w:sz w:val="20"/>
          <w:szCs w:val="20"/>
          <w:color w:val="auto"/>
        </w:rPr>
      </w:pPr>
      <w:r>
        <w:rPr>
          <w:rFonts w:ascii="Times New Roman" w:cs="Times New Roman" w:eastAsia="Times New Roman" w:hAnsi="Times New Roman"/>
          <w:sz w:val="17"/>
          <w:szCs w:val="17"/>
          <w:color w:val="auto"/>
        </w:rPr>
        <w:t xml:space="preserve">Section 3.02 </w:t>
      </w:r>
      <w:r>
        <w:rPr>
          <w:rFonts w:ascii="Times New Roman" w:cs="Times New Roman" w:eastAsia="Times New Roman" w:hAnsi="Times New Roman"/>
          <w:sz w:val="17"/>
          <w:szCs w:val="17"/>
          <w:i w:val="1"/>
          <w:iCs w:val="1"/>
          <w:color w:val="auto"/>
        </w:rPr>
        <w:t>Waiver of Defaults</w:t>
      </w:r>
      <w:r>
        <w:rPr>
          <w:rFonts w:ascii="Times New Roman" w:cs="Times New Roman" w:eastAsia="Times New Roman" w:hAnsi="Times New Roman"/>
          <w:sz w:val="17"/>
          <w:szCs w:val="17"/>
          <w:color w:val="auto"/>
        </w:rPr>
        <w:t>. Any and all Defaults, Events of Default or other defaults that may have occurred, or that may arise under the Indenture, directly or indirectly, as a result of the HC2B Transactions are hereby irrevocably waived in all respects.</w:t>
      </w:r>
    </w:p>
    <w:p>
      <w:pPr>
        <w:spacing w:after="0" w:line="126" w:lineRule="exact"/>
        <w:rPr>
          <w:sz w:val="20"/>
          <w:szCs w:val="20"/>
          <w:color w:val="auto"/>
        </w:rPr>
      </w:pPr>
    </w:p>
    <w:p>
      <w:pPr>
        <w:jc w:val="both"/>
        <w:ind w:firstLine="191"/>
        <w:spacing w:after="0" w:line="264" w:lineRule="auto"/>
        <w:rPr>
          <w:sz w:val="20"/>
          <w:szCs w:val="20"/>
          <w:color w:val="auto"/>
        </w:rPr>
      </w:pPr>
      <w:r>
        <w:rPr>
          <w:rFonts w:ascii="Times New Roman" w:cs="Times New Roman" w:eastAsia="Times New Roman" w:hAnsi="Times New Roman"/>
          <w:sz w:val="17"/>
          <w:szCs w:val="17"/>
          <w:color w:val="auto"/>
        </w:rPr>
        <w:t xml:space="preserve">Section 3.03 </w:t>
      </w:r>
      <w:r>
        <w:rPr>
          <w:rFonts w:ascii="Times New Roman" w:cs="Times New Roman" w:eastAsia="Times New Roman" w:hAnsi="Times New Roman"/>
          <w:sz w:val="17"/>
          <w:szCs w:val="17"/>
          <w:i w:val="1"/>
          <w:iCs w:val="1"/>
          <w:color w:val="auto"/>
        </w:rPr>
        <w:t>Amendments.</w:t>
      </w:r>
      <w:r>
        <w:rPr>
          <w:rFonts w:ascii="Times New Roman" w:cs="Times New Roman" w:eastAsia="Times New Roman" w:hAnsi="Times New Roman"/>
          <w:sz w:val="17"/>
          <w:szCs w:val="17"/>
          <w:color w:val="auto"/>
        </w:rPr>
        <w:t xml:space="preserve"> Without the consent of the Holders of at least a majority in aggregate principal amount of the Notes then outstanding voting as a single class, the Company and its Subsidiaries shall not enter into any amendment, supplement, modification, waiver or replacement to the documentation, agreements, supplements, waivers or consents referenced in the definition of “HC2B Transactions” that adversely affects the rights of the Holders of the Notes.</w:t>
      </w:r>
    </w:p>
    <w:p>
      <w:pPr>
        <w:sectPr>
          <w:pgSz w:w="11900" w:h="16838" w:orient="portrait"/>
          <w:cols w:equalWidth="0" w:num="1">
            <w:col w:w="11280"/>
          </w:cols>
          <w:pgMar w:left="300" w:top="946" w:right="319" w:bottom="1440" w:gutter="0" w:footer="0" w:header="0"/>
        </w:sectPr>
      </w:pPr>
    </w:p>
    <w:bookmarkStart w:id="185" w:name="page186"/>
    <w:bookmarkEnd w:id="185"/>
    <w:p>
      <w:pPr>
        <w:jc w:val="center"/>
        <w:ind w:left="500"/>
        <w:spacing w:after="0"/>
        <w:rPr>
          <w:sz w:val="20"/>
          <w:szCs w:val="20"/>
          <w:color w:val="auto"/>
        </w:rPr>
      </w:pPr>
      <w:r>
        <w:rPr>
          <w:rFonts w:ascii="Times New Roman" w:cs="Times New Roman" w:eastAsia="Times New Roman" w:hAnsi="Times New Roman"/>
          <w:sz w:val="17"/>
          <w:szCs w:val="17"/>
          <w:color w:val="auto"/>
        </w:rPr>
        <w:t>ARTICLE 4.</w:t>
      </w:r>
    </w:p>
    <w:p>
      <w:pPr>
        <w:spacing w:after="0" w:line="24"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7"/>
          <w:szCs w:val="17"/>
          <w:color w:val="auto"/>
        </w:rPr>
        <w:t>MISCELLANEOUS</w:t>
      </w:r>
    </w:p>
    <w:p>
      <w:pPr>
        <w:spacing w:after="0" w:line="154" w:lineRule="exact"/>
        <w:rPr>
          <w:sz w:val="20"/>
          <w:szCs w:val="20"/>
          <w:color w:val="auto"/>
        </w:rPr>
      </w:pPr>
    </w:p>
    <w:p>
      <w:pPr>
        <w:jc w:val="both"/>
        <w:ind w:firstLine="191"/>
        <w:spacing w:after="0" w:line="263" w:lineRule="auto"/>
        <w:rPr>
          <w:sz w:val="20"/>
          <w:szCs w:val="20"/>
          <w:color w:val="auto"/>
        </w:rPr>
      </w:pPr>
      <w:r>
        <w:rPr>
          <w:rFonts w:ascii="Times New Roman" w:cs="Times New Roman" w:eastAsia="Times New Roman" w:hAnsi="Times New Roman"/>
          <w:sz w:val="17"/>
          <w:szCs w:val="17"/>
          <w:color w:val="auto"/>
        </w:rPr>
        <w:t xml:space="preserve">Section 4.01 </w:t>
      </w:r>
      <w:r>
        <w:rPr>
          <w:rFonts w:ascii="Times New Roman" w:cs="Times New Roman" w:eastAsia="Times New Roman" w:hAnsi="Times New Roman"/>
          <w:sz w:val="17"/>
          <w:szCs w:val="17"/>
          <w:i w:val="1"/>
          <w:iCs w:val="1"/>
          <w:color w:val="auto"/>
        </w:rPr>
        <w:t>HC2 Sale.</w:t>
      </w:r>
      <w:r>
        <w:rPr>
          <w:rFonts w:ascii="Times New Roman" w:cs="Times New Roman" w:eastAsia="Times New Roman" w:hAnsi="Times New Roman"/>
          <w:sz w:val="17"/>
          <w:szCs w:val="17"/>
          <w:color w:val="auto"/>
        </w:rPr>
        <w:t xml:space="preserve"> The Company shall use commercially reasonable efforts to consummate the HC2 Sale as contemplated by that certain Agreement and Plan of Merger, by and among, CONX Corp., a Nevada corporation, HC2 Merger Sub, LLC, a Delaware limited liability company, HC2 Broadcasting Holdco, LLC, a Delaware limited liability company, and HC2 Broadcasting Holdings Inc., a Delaware corporation, as amended, restated, supplemented or otherwise modified or replaced from time to time.</w:t>
      </w:r>
    </w:p>
    <w:p>
      <w:pPr>
        <w:spacing w:after="0" w:line="130" w:lineRule="exact"/>
        <w:rPr>
          <w:sz w:val="20"/>
          <w:szCs w:val="20"/>
          <w:color w:val="auto"/>
        </w:rPr>
      </w:pPr>
    </w:p>
    <w:p>
      <w:pPr>
        <w:jc w:val="both"/>
        <w:ind w:firstLine="191"/>
        <w:spacing w:after="0" w:line="264" w:lineRule="auto"/>
        <w:rPr>
          <w:sz w:val="20"/>
          <w:szCs w:val="20"/>
          <w:color w:val="auto"/>
        </w:rPr>
      </w:pPr>
      <w:r>
        <w:rPr>
          <w:rFonts w:ascii="Times New Roman" w:cs="Times New Roman" w:eastAsia="Times New Roman" w:hAnsi="Times New Roman"/>
          <w:sz w:val="17"/>
          <w:szCs w:val="17"/>
          <w:color w:val="auto"/>
        </w:rPr>
        <w:t xml:space="preserve">Section 4.02 </w:t>
      </w:r>
      <w:r>
        <w:rPr>
          <w:rFonts w:ascii="Times New Roman" w:cs="Times New Roman" w:eastAsia="Times New Roman" w:hAnsi="Times New Roman"/>
          <w:sz w:val="17"/>
          <w:szCs w:val="17"/>
          <w:i w:val="1"/>
          <w:iCs w:val="1"/>
          <w:color w:val="auto"/>
        </w:rPr>
        <w:t>Governing Law</w:t>
      </w:r>
      <w:r>
        <w:rPr>
          <w:rFonts w:ascii="Times New Roman" w:cs="Times New Roman" w:eastAsia="Times New Roman" w:hAnsi="Times New Roman"/>
          <w:sz w:val="17"/>
          <w:szCs w:val="17"/>
          <w:color w:val="auto"/>
        </w:rPr>
        <w:t>. THE INTERNAL LAW OF THE STATE OF NEW YORK WILL GOVERN AND BE USED TO CONSTRUE THIS SUPPLEMENTAL INDENTURE WITHOUT GIVING EFFECT TO APPLICABLE PRINCIPLES OF CONFLICTS OF LAW TO THE EXTENT THAT THE APPLICATION OF THE LAWS OF ANOTHER JURISDICTION WOULD BE REQUIRED THEREBY.</w:t>
      </w:r>
    </w:p>
    <w:p>
      <w:pPr>
        <w:spacing w:after="0" w:line="129" w:lineRule="exact"/>
        <w:rPr>
          <w:sz w:val="20"/>
          <w:szCs w:val="20"/>
          <w:color w:val="auto"/>
        </w:rPr>
      </w:pPr>
    </w:p>
    <w:p>
      <w:pPr>
        <w:jc w:val="both"/>
        <w:ind w:firstLine="191"/>
        <w:spacing w:after="0" w:line="294" w:lineRule="auto"/>
        <w:rPr>
          <w:sz w:val="20"/>
          <w:szCs w:val="20"/>
          <w:color w:val="auto"/>
        </w:rPr>
      </w:pPr>
      <w:r>
        <w:rPr>
          <w:rFonts w:ascii="Times New Roman" w:cs="Times New Roman" w:eastAsia="Times New Roman" w:hAnsi="Times New Roman"/>
          <w:sz w:val="17"/>
          <w:szCs w:val="17"/>
          <w:color w:val="auto"/>
        </w:rPr>
        <w:t xml:space="preserve">Section 4.03 </w:t>
      </w:r>
      <w:r>
        <w:rPr>
          <w:rFonts w:ascii="Times New Roman" w:cs="Times New Roman" w:eastAsia="Times New Roman" w:hAnsi="Times New Roman"/>
          <w:sz w:val="17"/>
          <w:szCs w:val="17"/>
          <w:i w:val="1"/>
          <w:iCs w:val="1"/>
          <w:color w:val="auto"/>
        </w:rPr>
        <w:t>Severability</w:t>
      </w:r>
      <w:r>
        <w:rPr>
          <w:rFonts w:ascii="Times New Roman" w:cs="Times New Roman" w:eastAsia="Times New Roman" w:hAnsi="Times New Roman"/>
          <w:sz w:val="17"/>
          <w:szCs w:val="17"/>
          <w:color w:val="auto"/>
        </w:rPr>
        <w:t>. In case any provision in this Supplemental Indenture is invalid, illegal or unenforceable, the validity, legality and enforceability of the remaining provisions will not in any way be affected or impaired thereby.</w:t>
      </w:r>
    </w:p>
    <w:p>
      <w:pPr>
        <w:spacing w:after="0" w:line="105" w:lineRule="exact"/>
        <w:rPr>
          <w:sz w:val="20"/>
          <w:szCs w:val="20"/>
          <w:color w:val="auto"/>
        </w:rPr>
      </w:pPr>
    </w:p>
    <w:p>
      <w:pPr>
        <w:jc w:val="both"/>
        <w:ind w:firstLine="191"/>
        <w:spacing w:after="0" w:line="258" w:lineRule="auto"/>
        <w:rPr>
          <w:sz w:val="20"/>
          <w:szCs w:val="20"/>
          <w:color w:val="auto"/>
        </w:rPr>
      </w:pPr>
      <w:r>
        <w:rPr>
          <w:rFonts w:ascii="Times New Roman" w:cs="Times New Roman" w:eastAsia="Times New Roman" w:hAnsi="Times New Roman"/>
          <w:sz w:val="17"/>
          <w:szCs w:val="17"/>
          <w:color w:val="auto"/>
        </w:rPr>
        <w:t xml:space="preserve">Section 4.04 </w:t>
      </w:r>
      <w:r>
        <w:rPr>
          <w:rFonts w:ascii="Times New Roman" w:cs="Times New Roman" w:eastAsia="Times New Roman" w:hAnsi="Times New Roman"/>
          <w:sz w:val="17"/>
          <w:szCs w:val="17"/>
          <w:i w:val="1"/>
          <w:iCs w:val="1"/>
          <w:color w:val="auto"/>
        </w:rPr>
        <w:t>Counterpart Originals</w:t>
      </w:r>
      <w:r>
        <w:rPr>
          <w:rFonts w:ascii="Times New Roman" w:cs="Times New Roman" w:eastAsia="Times New Roman" w:hAnsi="Times New Roman"/>
          <w:sz w:val="17"/>
          <w:szCs w:val="17"/>
          <w:color w:val="auto"/>
        </w:rPr>
        <w:t>. The parties may sign any number of copies of this Supplemental Indenture. Each signed copy will be an original, but all of them together represent the same agreement. The exchange of copies of this Supplemental Indenture and of signature pages by facsimile or PDF transmission shall constitute effective execution and delivery of this Supplemental Indenture as to the parties hereto and may be used in lieu of the original Supplemental Indenture and signature pages for all purposes.</w:t>
      </w:r>
    </w:p>
    <w:p>
      <w:pPr>
        <w:spacing w:after="0" w:line="146" w:lineRule="exact"/>
        <w:rPr>
          <w:sz w:val="20"/>
          <w:szCs w:val="20"/>
          <w:color w:val="auto"/>
        </w:rPr>
      </w:pPr>
    </w:p>
    <w:p>
      <w:pPr>
        <w:ind w:left="200"/>
        <w:spacing w:after="0"/>
        <w:tabs>
          <w:tab w:leader="none" w:pos="1200" w:val="left"/>
        </w:tabs>
        <w:rPr>
          <w:sz w:val="20"/>
          <w:szCs w:val="20"/>
          <w:color w:val="auto"/>
        </w:rPr>
      </w:pPr>
      <w:r>
        <w:rPr>
          <w:rFonts w:ascii="Times New Roman" w:cs="Times New Roman" w:eastAsia="Times New Roman" w:hAnsi="Times New Roman"/>
          <w:sz w:val="17"/>
          <w:szCs w:val="17"/>
          <w:color w:val="auto"/>
        </w:rPr>
        <w:t>Section 4.05</w:t>
      </w:r>
      <w:r>
        <w:rPr>
          <w:sz w:val="20"/>
          <w:szCs w:val="20"/>
          <w:color w:val="auto"/>
        </w:rPr>
        <w:tab/>
      </w:r>
      <w:r>
        <w:rPr>
          <w:rFonts w:ascii="Times New Roman" w:cs="Times New Roman" w:eastAsia="Times New Roman" w:hAnsi="Times New Roman"/>
          <w:sz w:val="16"/>
          <w:szCs w:val="16"/>
          <w:i w:val="1"/>
          <w:iCs w:val="1"/>
          <w:color w:val="auto"/>
        </w:rPr>
        <w:t>Effect of Headings</w:t>
      </w:r>
      <w:r>
        <w:rPr>
          <w:rFonts w:ascii="Times New Roman" w:cs="Times New Roman" w:eastAsia="Times New Roman" w:hAnsi="Times New Roman"/>
          <w:sz w:val="16"/>
          <w:szCs w:val="16"/>
          <w:color w:val="auto"/>
        </w:rPr>
        <w:t>. The Section headings herein are for convenience only and shall not affect the construction hereof.</w:t>
      </w:r>
    </w:p>
    <w:p>
      <w:pPr>
        <w:spacing w:after="0" w:line="176" w:lineRule="exact"/>
        <w:rPr>
          <w:sz w:val="20"/>
          <w:szCs w:val="20"/>
          <w:color w:val="auto"/>
        </w:rPr>
      </w:pPr>
    </w:p>
    <w:p>
      <w:pPr>
        <w:jc w:val="both"/>
        <w:ind w:firstLine="191"/>
        <w:spacing w:after="0" w:line="258" w:lineRule="auto"/>
        <w:rPr>
          <w:sz w:val="20"/>
          <w:szCs w:val="20"/>
          <w:color w:val="auto"/>
        </w:rPr>
      </w:pPr>
      <w:r>
        <w:rPr>
          <w:rFonts w:ascii="Times New Roman" w:cs="Times New Roman" w:eastAsia="Times New Roman" w:hAnsi="Times New Roman"/>
          <w:sz w:val="17"/>
          <w:szCs w:val="17"/>
          <w:color w:val="auto"/>
        </w:rPr>
        <w:t xml:space="preserve">Section 4.06 </w:t>
      </w:r>
      <w:r>
        <w:rPr>
          <w:rFonts w:ascii="Times New Roman" w:cs="Times New Roman" w:eastAsia="Times New Roman" w:hAnsi="Times New Roman"/>
          <w:sz w:val="17"/>
          <w:szCs w:val="17"/>
          <w:i w:val="1"/>
          <w:iCs w:val="1"/>
          <w:color w:val="auto"/>
        </w:rPr>
        <w:t>The Trustee</w:t>
      </w:r>
      <w:r>
        <w:rPr>
          <w:rFonts w:ascii="Times New Roman" w:cs="Times New Roman" w:eastAsia="Times New Roman" w:hAnsi="Times New Roman"/>
          <w:sz w:val="17"/>
          <w:szCs w:val="17"/>
          <w:color w:val="auto"/>
        </w:rPr>
        <w:t>. The Trustee shall not be responsible in any manner whatsoever for or in respect of the validity or sufficiency of this Supplemental Indenture or for or in respect of the recitals contained herein, all of which recitals are made solely by the Company and not by the Trustee, and all of the provisions contained in the Indenture in respect of the rights, privileges, immunities, powers and duties of the Trustee shall be applicable in respect of this Supplemental Indenture as fully and with like effect as if set forth herein in full.</w:t>
      </w:r>
    </w:p>
    <w:p>
      <w:pPr>
        <w:spacing w:after="0" w:line="146" w:lineRule="exact"/>
        <w:rPr>
          <w:sz w:val="20"/>
          <w:szCs w:val="20"/>
          <w:color w:val="auto"/>
        </w:rPr>
      </w:pPr>
    </w:p>
    <w:p>
      <w:pPr>
        <w:ind w:left="200"/>
        <w:spacing w:after="0"/>
        <w:tabs>
          <w:tab w:leader="none" w:pos="1200" w:val="left"/>
        </w:tabs>
        <w:rPr>
          <w:sz w:val="20"/>
          <w:szCs w:val="20"/>
          <w:color w:val="auto"/>
        </w:rPr>
      </w:pPr>
      <w:r>
        <w:rPr>
          <w:rFonts w:ascii="Times New Roman" w:cs="Times New Roman" w:eastAsia="Times New Roman" w:hAnsi="Times New Roman"/>
          <w:sz w:val="17"/>
          <w:szCs w:val="17"/>
          <w:color w:val="auto"/>
        </w:rPr>
        <w:t>Section 4.07</w:t>
      </w:r>
      <w:r>
        <w:rPr>
          <w:sz w:val="20"/>
          <w:szCs w:val="20"/>
          <w:color w:val="auto"/>
        </w:rPr>
        <w:tab/>
      </w:r>
      <w:r>
        <w:rPr>
          <w:rFonts w:ascii="Times New Roman" w:cs="Times New Roman" w:eastAsia="Times New Roman" w:hAnsi="Times New Roman"/>
          <w:sz w:val="17"/>
          <w:szCs w:val="17"/>
          <w:i w:val="1"/>
          <w:iCs w:val="1"/>
          <w:color w:val="auto"/>
        </w:rPr>
        <w:t>Indemnification.</w:t>
      </w:r>
    </w:p>
    <w:p>
      <w:pPr>
        <w:spacing w:after="0" w:line="180" w:lineRule="exact"/>
        <w:rPr>
          <w:sz w:val="20"/>
          <w:szCs w:val="20"/>
          <w:color w:val="auto"/>
        </w:rPr>
      </w:pPr>
    </w:p>
    <w:p>
      <w:pPr>
        <w:jc w:val="both"/>
        <w:ind w:left="760" w:hanging="246"/>
        <w:spacing w:after="0" w:line="254" w:lineRule="auto"/>
        <w:tabs>
          <w:tab w:leader="none" w:pos="838"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agrees to indemnify and hold harmless each Requisite Holder and each of its respective Affiliates, successors and assignors and all their respective officers, directors (or equivalent managers), members, partners, trustees, employees, equity holders, advisors, agents and other representatives of each of the foregoing and their respective successors and permitted assigns (each, an “</w:t>
      </w:r>
      <w:r>
        <w:rPr>
          <w:rFonts w:ascii="Times New Roman" w:cs="Times New Roman" w:eastAsia="Times New Roman" w:hAnsi="Times New Roman"/>
          <w:sz w:val="17"/>
          <w:szCs w:val="17"/>
          <w:i w:val="1"/>
          <w:iCs w:val="1"/>
          <w:color w:val="auto"/>
        </w:rPr>
        <w:t>Indemnified Person</w:t>
      </w:r>
      <w:r>
        <w:rPr>
          <w:rFonts w:ascii="Times New Roman" w:cs="Times New Roman" w:eastAsia="Times New Roman" w:hAnsi="Times New Roman"/>
          <w:sz w:val="17"/>
          <w:szCs w:val="17"/>
          <w:color w:val="auto"/>
        </w:rPr>
        <w:t>”) from and against any and all actual losses, claims, damages, and liabilities, joint or several, to which any such Indemnified Person may become subject arising out of, in connection with, or as a result of this Supplemental Indenture or the HC2B Transactions, or any claim, litigation, investigation or proceeding, actual or</w:t>
      </w:r>
    </w:p>
    <w:p>
      <w:pPr>
        <w:sectPr>
          <w:pgSz w:w="11900" w:h="16838" w:orient="portrait"/>
          <w:cols w:equalWidth="0" w:num="1">
            <w:col w:w="11280"/>
          </w:cols>
          <w:pgMar w:left="300" w:top="946" w:right="319" w:bottom="1440" w:gutter="0" w:footer="0" w:header="0"/>
        </w:sectPr>
      </w:pPr>
    </w:p>
    <w:bookmarkStart w:id="186" w:name="page187"/>
    <w:bookmarkEnd w:id="186"/>
    <w:p>
      <w:pPr>
        <w:jc w:val="both"/>
        <w:spacing w:after="0" w:line="251" w:lineRule="auto"/>
        <w:rPr>
          <w:sz w:val="20"/>
          <w:szCs w:val="20"/>
          <w:color w:val="auto"/>
        </w:rPr>
      </w:pPr>
      <w:r>
        <w:rPr>
          <w:rFonts w:ascii="Times New Roman" w:cs="Times New Roman" w:eastAsia="Times New Roman" w:hAnsi="Times New Roman"/>
          <w:sz w:val="17"/>
          <w:szCs w:val="17"/>
          <w:color w:val="auto"/>
        </w:rPr>
        <w:t xml:space="preserve">threatened, relating to any of the foregoing (limited, in the case of legal fees of any Requisite Holder, to (i) one counsel for all such Commitment Parties taken as a whole (and, in the case of an actual or perceived conflict of interest, where the applicable Indemnified Person affected by such conflict informs you of such conflict and thereafter retains its own counsel, one additional counsel to such affected Indemnified Person), (ii) if necessary, a single local counsel for all such Requisite Holders taken as a whole in each relevant jurisdiction (and, in the case of an actual or perceived conflict of interest, where the applicable Indemnified Person affected by such conflict informs you of such conflict and thereafter retains its own counsel, one additional counsel to such affected Indemnified Person in each relevant jurisdiction), which may include special counsel acting in multiple jurisdictions, and (iii) if necessary, a single regulatory and/or specialty counsel for all such Requisite Holders taken as a whole for each relevant specialty area (and, in the case of an actual or perceived conflict of interest, where the applicable Indemnified Person affected by such conflict informs you of such conflict and thereafter retains its own counsel, one additional counsel to such affected Indemnified Person for each relevant specialty area), in each case, regardless of whether any Indemnified Person is a party thereto, whether or not the transactions contemplated hereby are consummated, and whether or not such proceeding is brought by you, your equity holders, affiliates, creditors, or any other third person);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no Indemnified Person will be entitled to indemnity hereunder in respect of any loss, claim, damage, liability or related expense to the extent that it is found by a final, non-appealable judgment of a court of competent jurisdiction that such loss, claim, damage, liability or expense that arises from (i) the bad faith, fraud, gross negligence or willful misconduct of, or material breach of this Supplemental Indenture by, as determined by a court of competent jurisdiction in a final and non-appealable decision, such Indemnified Person (or any of its Affiliates, successors and assignors and their respective officers, directors (or equivalent managers), members, partners, trustees, employees, equity holders, advisors, agents and other representatives) (it being agreed that a Requisite Holder’s compliance with, or execution, implementation or consummation of, as applicable, this Supplemental Indenture and the HC2B Transactions contemplated hereby shall not be deemed bad faith, fraud, gross negligence or willful misconduct) or (ii) any disputes solely among Indemnified Persons and not arising out of any act or omission of the Company. In no event will any Indemnified Person, any other party hereto, the Company or any of its officers, directors, partners, trustees, employees, managed funds and accounts, shareholders, advisors, agents, representatives, attorneys and controlling persons and each of their respective heirs, successors and assigns be liable on any theory of liability for indirect, special, or consequential damages, lost profits or punitive damages in connection with this Supplemental Indenture or the HC2B Transactions; </w:t>
      </w:r>
      <w:r>
        <w:rPr>
          <w:rFonts w:ascii="Times New Roman" w:cs="Times New Roman" w:eastAsia="Times New Roman" w:hAnsi="Times New Roman"/>
          <w:sz w:val="17"/>
          <w:szCs w:val="17"/>
          <w:i w:val="1"/>
          <w:iCs w:val="1"/>
          <w:u w:val="single" w:color="auto"/>
          <w:color w:val="auto"/>
        </w:rPr>
        <w:t>provided</w:t>
      </w:r>
      <w:r>
        <w:rPr>
          <w:rFonts w:ascii="Times New Roman" w:cs="Times New Roman" w:eastAsia="Times New Roman" w:hAnsi="Times New Roman"/>
          <w:sz w:val="17"/>
          <w:szCs w:val="17"/>
          <w:color w:val="auto"/>
        </w:rPr>
        <w:t xml:space="preserve"> that the foregoing shall not limit the Company’s indemnification obligations to the Indemnified Persons in respect of damages incurred or paid by an Indemnified Person to a third party.</w:t>
      </w:r>
    </w:p>
    <w:p>
      <w:pPr>
        <w:sectPr>
          <w:pgSz w:w="11900" w:h="16838" w:orient="portrait"/>
          <w:cols w:equalWidth="0" w:num="1">
            <w:col w:w="10520"/>
          </w:cols>
          <w:pgMar w:left="1060" w:top="946" w:right="319" w:bottom="1440" w:gutter="0" w:footer="0" w:header="0"/>
        </w:sectPr>
      </w:pPr>
    </w:p>
    <w:bookmarkStart w:id="187" w:name="page188"/>
    <w:bookmarkEnd w:id="187"/>
    <w:p>
      <w:pPr>
        <w:jc w:val="both"/>
        <w:ind w:left="246" w:hanging="246"/>
        <w:spacing w:after="0" w:line="252" w:lineRule="auto"/>
        <w:tabs>
          <w:tab w:leader="none" w:pos="362"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Company shall not be liable for any settlement of any proceeding (or expenses relating thereto) effected without the Company’s consent (which consent shall not be unreasonably withheld, conditioned or delayed), but if settled with the Company’s written consent, or if there is a final judgment against an Indemnified Person in any such proceeding, the Company agrees to indemnify and hold harmless such Indemnified Person to the extent and in the manner set forth above. The Company shall not, without the prior written consent of the affected Indemnified Person, effect any settlement of any pending or threatened proceeding against such Indemnified Person in respect of which indemnity could have been sought hereunder by such Indemnified Person, unless such settlement (a) includes an unconditional release of such Indemnified Person from all liability and claims that are the subject matter of such proceeding, (b) does not include any statement as to any admission of fault or culpability, and (c) includes customary confidentiality and non-disparagement agreements;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for the avoidance of doubt, no settlement pursuant to this sentence shall be binding on any Indemnified Person without such Indemnified Person’s consent. Each Indemnified Person shall be obligated to refund or return any and all amounts paid by the Company under this paragraph to such Indemnified Person for any losses, claims, damages, liabilities and expenses to the extent such Indemnified Person is not entitled to payment of such amounts in accordance with the terms hereof, as determined by a final non-appealable order of a court of competent jurisdiction.</w:t>
      </w:r>
    </w:p>
    <w:p>
      <w:pPr>
        <w:spacing w:after="0" w:line="146" w:lineRule="exact"/>
        <w:rPr>
          <w:rFonts w:ascii="Times New Roman" w:cs="Times New Roman" w:eastAsia="Times New Roman" w:hAnsi="Times New Roman"/>
          <w:sz w:val="17"/>
          <w:szCs w:val="17"/>
          <w:color w:val="auto"/>
        </w:rPr>
      </w:pPr>
    </w:p>
    <w:p>
      <w:pPr>
        <w:jc w:val="both"/>
        <w:ind w:left="246" w:hanging="246"/>
        <w:spacing w:after="0" w:line="261" w:lineRule="auto"/>
        <w:tabs>
          <w:tab w:leader="none" w:pos="327"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any proceeding is instituted involving any Indemnified Person for which indemnity is to be sought hereunder by such Indemnified Person, then such Indemnified Person will, to the extent permitted in connection with such proceeding, promptly notify the Company of the commencement of any such proceeding;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the failure to notify the Company will not relieve the Company from any liability that the Company may have to such Indemnified Person hereunder.</w:t>
      </w:r>
    </w:p>
    <w:p>
      <w:pPr>
        <w:spacing w:after="0" w:line="136" w:lineRule="exact"/>
        <w:rPr>
          <w:rFonts w:ascii="Times New Roman" w:cs="Times New Roman" w:eastAsia="Times New Roman" w:hAnsi="Times New Roman"/>
          <w:sz w:val="17"/>
          <w:szCs w:val="17"/>
          <w:color w:val="auto"/>
        </w:rPr>
      </w:pPr>
    </w:p>
    <w:p>
      <w:pPr>
        <w:jc w:val="both"/>
        <w:ind w:left="246" w:hanging="246"/>
        <w:spacing w:after="0" w:line="257" w:lineRule="auto"/>
        <w:tabs>
          <w:tab w:leader="none" w:pos="437"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indemnity and expense reimbursement obligations set forth herein (i) shall remain operative and in full force and effect regardless of any investigation made by or on behalf of the Requisite Holders or any other Indemnified Person and (ii) shall be binding on any successor or assign of the Company and the successors or assigns. For the avoidance of doubt, the indemnity provided in this Section 4.07 shall not apply to any taxes other than any taxes that represent losses, claims or damages arising from any non-tax claim.</w:t>
      </w:r>
    </w:p>
    <w:p>
      <w:pPr>
        <w:spacing w:after="0" w:line="149" w:lineRule="exact"/>
        <w:rPr>
          <w:rFonts w:ascii="Times New Roman" w:cs="Times New Roman" w:eastAsia="Times New Roman" w:hAnsi="Times New Roman"/>
          <w:sz w:val="17"/>
          <w:szCs w:val="17"/>
          <w:color w:val="auto"/>
        </w:rPr>
      </w:pPr>
    </w:p>
    <w:p>
      <w:pPr>
        <w:jc w:val="both"/>
        <w:ind w:left="246" w:hanging="246"/>
        <w:spacing w:after="0" w:line="262" w:lineRule="auto"/>
        <w:tabs>
          <w:tab w:leader="none" w:pos="334"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reimburse each Requisite Holder on the date hereof, for reasonable and documented fees and out-of-pocket expenses (inclusive of any reasonable estimate of fees and expenses through and including the date hereof), which shall be limited to the charges of Gibson, Dunn &amp; Crutcher LLP, as counsel, incurred in connection with the preparation of this Supplemental Indenture or the HC2B Transactions.</w:t>
      </w:r>
    </w:p>
    <w:p>
      <w:pPr>
        <w:sectPr>
          <w:pgSz w:w="11900" w:h="16838" w:orient="portrait"/>
          <w:cols w:equalWidth="0" w:num="1">
            <w:col w:w="10766"/>
          </w:cols>
          <w:pgMar w:left="814" w:top="946" w:right="319" w:bottom="1440" w:gutter="0" w:footer="0" w:header="0"/>
        </w:sectPr>
      </w:pPr>
    </w:p>
    <w:bookmarkStart w:id="188" w:name="page189"/>
    <w:bookmarkEnd w:id="188"/>
    <w:p>
      <w:pPr>
        <w:jc w:val="both"/>
        <w:ind w:firstLine="191"/>
        <w:spacing w:after="0" w:line="264" w:lineRule="auto"/>
        <w:rPr>
          <w:sz w:val="20"/>
          <w:szCs w:val="20"/>
          <w:color w:val="auto"/>
        </w:rPr>
      </w:pPr>
      <w:r>
        <w:rPr>
          <w:rFonts w:ascii="Times New Roman" w:cs="Times New Roman" w:eastAsia="Times New Roman" w:hAnsi="Times New Roman"/>
          <w:sz w:val="17"/>
          <w:szCs w:val="17"/>
          <w:color w:val="auto"/>
        </w:rPr>
        <w:t xml:space="preserve">Section 4.08 </w:t>
      </w:r>
      <w:r>
        <w:rPr>
          <w:rFonts w:ascii="Times New Roman" w:cs="Times New Roman" w:eastAsia="Times New Roman" w:hAnsi="Times New Roman"/>
          <w:sz w:val="17"/>
          <w:szCs w:val="17"/>
          <w:i w:val="1"/>
          <w:iCs w:val="1"/>
          <w:color w:val="auto"/>
        </w:rPr>
        <w:t>Effectiveness</w:t>
      </w:r>
      <w:r>
        <w:rPr>
          <w:rFonts w:ascii="Times New Roman" w:cs="Times New Roman" w:eastAsia="Times New Roman" w:hAnsi="Times New Roman"/>
          <w:sz w:val="17"/>
          <w:szCs w:val="17"/>
          <w:color w:val="auto"/>
        </w:rPr>
        <w:t>. This Supplemental Indenture shall become effective (i) upon execution by the parties hereto, and (ii) payment of all accrued fees and expenses of Gibson, Dunn and Crutcher LLP as counsel to the Holders of outstanding Notes. Except as supplemented hereby, all provisions in the Indenture shall remain in full force and effect.</w:t>
      </w:r>
    </w:p>
    <w:p>
      <w:pPr>
        <w:sectPr>
          <w:pgSz w:w="11900" w:h="16838" w:orient="portrait"/>
          <w:cols w:equalWidth="0" w:num="1">
            <w:col w:w="11280"/>
          </w:cols>
          <w:pgMar w:left="300" w:top="942" w:right="31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6"/>
          <w:szCs w:val="16"/>
          <w:color w:val="auto"/>
        </w:rPr>
        <w:t>IN WITNESS WHEREOF, the parties hereto have caused this Supplemental Indenture to be duly executed and attested, all as of the date first above written.</w:t>
      </w:r>
    </w:p>
    <w:p>
      <w:pPr>
        <w:sectPr>
          <w:pgSz w:w="11900" w:h="16838" w:orient="portrait"/>
          <w:cols w:equalWidth="0" w:num="1">
            <w:col w:w="10620"/>
          </w:cols>
          <w:pgMar w:left="820" w:top="1148" w:right="459" w:bottom="1440" w:gutter="0" w:footer="0" w:header="0"/>
        </w:sectPr>
      </w:pPr>
    </w:p>
    <w:p>
      <w:pPr>
        <w:spacing w:after="0" w:line="230"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7"/>
          <w:szCs w:val="17"/>
          <w:color w:val="auto"/>
        </w:rPr>
        <w:t>INNOVATE Corp.</w:t>
      </w:r>
    </w:p>
    <w:p>
      <w:pPr>
        <w:spacing w:after="0" w:line="229" w:lineRule="exact"/>
        <w:rPr>
          <w:sz w:val="20"/>
          <w:szCs w:val="20"/>
          <w:color w:val="auto"/>
        </w:rPr>
      </w:pPr>
    </w:p>
    <w:tbl>
      <w:tblPr>
        <w:tblLayout w:type="fixed"/>
        <w:tblInd w:w="2560" w:type="dxa"/>
        <w:tblCellMar>
          <w:top w:w="0" w:type="dxa"/>
          <w:left w:w="0" w:type="dxa"/>
          <w:bottom w:w="0" w:type="dxa"/>
          <w:right w:w="0" w:type="dxa"/>
        </w:tblCellMar>
      </w:tblPr>
      <w:tr>
        <w:trPr>
          <w:trHeight w:val="245"/>
        </w:trPr>
        <w:tc>
          <w:tcPr>
            <w:tcW w:w="68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29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 xml:space="preserve">/s/ </w:t>
            </w:r>
            <w:r>
              <w:rPr>
                <w:rFonts w:ascii="Times New Roman" w:cs="Times New Roman" w:eastAsia="Times New Roman" w:hAnsi="Times New Roman"/>
                <w:sz w:val="17"/>
                <w:szCs w:val="17"/>
                <w:i w:val="1"/>
                <w:iCs w:val="1"/>
                <w:color w:val="auto"/>
              </w:rPr>
              <w:t>Michael J. Sena</w:t>
            </w:r>
          </w:p>
        </w:tc>
      </w:tr>
      <w:tr>
        <w:trPr>
          <w:trHeight w:val="202"/>
        </w:trPr>
        <w:tc>
          <w:tcPr>
            <w:tcW w:w="68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2940" w:type="dxa"/>
            <w:vAlign w:val="bottom"/>
          </w:tcPr>
          <w:p>
            <w:pPr>
              <w:spacing w:after="0"/>
              <w:rPr>
                <w:sz w:val="20"/>
                <w:szCs w:val="20"/>
                <w:color w:val="auto"/>
              </w:rPr>
            </w:pPr>
            <w:r>
              <w:rPr>
                <w:rFonts w:ascii="Times New Roman" w:cs="Times New Roman" w:eastAsia="Times New Roman" w:hAnsi="Times New Roman"/>
                <w:sz w:val="17"/>
                <w:szCs w:val="17"/>
                <w:color w:val="auto"/>
              </w:rPr>
              <w:t>Michael J. Sena</w:t>
            </w:r>
          </w:p>
        </w:tc>
      </w:tr>
      <w:tr>
        <w:trPr>
          <w:trHeight w:val="219"/>
        </w:trPr>
        <w:tc>
          <w:tcPr>
            <w:tcW w:w="68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2940" w:type="dxa"/>
            <w:vAlign w:val="bottom"/>
          </w:tcPr>
          <w:p>
            <w:pPr>
              <w:spacing w:after="0"/>
              <w:rPr>
                <w:sz w:val="20"/>
                <w:szCs w:val="20"/>
                <w:color w:val="auto"/>
              </w:rPr>
            </w:pPr>
            <w:r>
              <w:rPr>
                <w:rFonts w:ascii="Times New Roman" w:cs="Times New Roman" w:eastAsia="Times New Roman" w:hAnsi="Times New Roman"/>
                <w:sz w:val="17"/>
                <w:szCs w:val="17"/>
                <w:color w:val="auto"/>
              </w:rPr>
              <w:t>Chief Financial Officer</w:t>
            </w:r>
          </w:p>
        </w:tc>
      </w:tr>
      <w:tr>
        <w:trPr>
          <w:trHeight w:val="637"/>
        </w:trPr>
        <w:tc>
          <w:tcPr>
            <w:tcW w:w="36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INNOVATE 2 Corp.</w:t>
            </w:r>
          </w:p>
        </w:tc>
      </w:tr>
      <w:tr>
        <w:trPr>
          <w:trHeight w:val="450"/>
        </w:trPr>
        <w:tc>
          <w:tcPr>
            <w:tcW w:w="68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29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 xml:space="preserve">/s/ </w:t>
            </w:r>
            <w:r>
              <w:rPr>
                <w:rFonts w:ascii="Times New Roman" w:cs="Times New Roman" w:eastAsia="Times New Roman" w:hAnsi="Times New Roman"/>
                <w:sz w:val="17"/>
                <w:szCs w:val="17"/>
                <w:i w:val="1"/>
                <w:iCs w:val="1"/>
                <w:color w:val="auto"/>
              </w:rPr>
              <w:t>Michael J. Sena</w:t>
            </w:r>
          </w:p>
        </w:tc>
      </w:tr>
      <w:tr>
        <w:trPr>
          <w:trHeight w:val="202"/>
        </w:trPr>
        <w:tc>
          <w:tcPr>
            <w:tcW w:w="68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2940" w:type="dxa"/>
            <w:vAlign w:val="bottom"/>
          </w:tcPr>
          <w:p>
            <w:pPr>
              <w:spacing w:after="0"/>
              <w:rPr>
                <w:sz w:val="20"/>
                <w:szCs w:val="20"/>
                <w:color w:val="auto"/>
              </w:rPr>
            </w:pPr>
            <w:r>
              <w:rPr>
                <w:rFonts w:ascii="Times New Roman" w:cs="Times New Roman" w:eastAsia="Times New Roman" w:hAnsi="Times New Roman"/>
                <w:sz w:val="17"/>
                <w:szCs w:val="17"/>
                <w:color w:val="auto"/>
              </w:rPr>
              <w:t>Michael J. Sena</w:t>
            </w:r>
          </w:p>
        </w:tc>
      </w:tr>
      <w:tr>
        <w:trPr>
          <w:trHeight w:val="170"/>
        </w:trPr>
        <w:tc>
          <w:tcPr>
            <w:tcW w:w="680" w:type="dxa"/>
            <w:vAlign w:val="bottom"/>
          </w:tcPr>
          <w:p>
            <w:pPr>
              <w:spacing w:after="0" w:line="170" w:lineRule="exact"/>
              <w:rPr>
                <w:sz w:val="20"/>
                <w:szCs w:val="20"/>
                <w:color w:val="auto"/>
              </w:rPr>
            </w:pPr>
            <w:r>
              <w:rPr>
                <w:rFonts w:ascii="Times New Roman" w:cs="Times New Roman" w:eastAsia="Times New Roman" w:hAnsi="Times New Roman"/>
                <w:sz w:val="17"/>
                <w:szCs w:val="17"/>
                <w:color w:val="auto"/>
              </w:rPr>
              <w:t>Title:</w:t>
            </w:r>
          </w:p>
        </w:tc>
        <w:tc>
          <w:tcPr>
            <w:tcW w:w="2940" w:type="dxa"/>
            <w:vAlign w:val="bottom"/>
          </w:tcPr>
          <w:p>
            <w:pPr>
              <w:ind w:left="40"/>
              <w:spacing w:after="0" w:line="170" w:lineRule="exact"/>
              <w:rPr>
                <w:sz w:val="20"/>
                <w:szCs w:val="20"/>
                <w:color w:val="auto"/>
              </w:rPr>
            </w:pPr>
            <w:r>
              <w:rPr>
                <w:rFonts w:ascii="Times New Roman" w:cs="Times New Roman" w:eastAsia="Times New Roman" w:hAnsi="Times New Roman"/>
                <w:sz w:val="17"/>
                <w:szCs w:val="17"/>
                <w:color w:val="auto"/>
              </w:rPr>
              <w:t>Chief Executive Officer and Chief</w:t>
            </w:r>
          </w:p>
        </w:tc>
      </w:tr>
      <w:tr>
        <w:trPr>
          <w:trHeight w:val="219"/>
        </w:trPr>
        <w:tc>
          <w:tcPr>
            <w:tcW w:w="680" w:type="dxa"/>
            <w:vAlign w:val="bottom"/>
          </w:tcPr>
          <w:p>
            <w:pPr>
              <w:spacing w:after="0"/>
              <w:rPr>
                <w:sz w:val="19"/>
                <w:szCs w:val="19"/>
                <w:color w:val="auto"/>
              </w:rPr>
            </w:pPr>
          </w:p>
        </w:tc>
        <w:tc>
          <w:tcPr>
            <w:tcW w:w="29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Financial Officer</w:t>
            </w:r>
          </w:p>
        </w:tc>
      </w:tr>
      <w:tr>
        <w:trPr>
          <w:trHeight w:val="637"/>
        </w:trPr>
        <w:tc>
          <w:tcPr>
            <w:tcW w:w="36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DBM Global Intermediate Holdco Inc.</w:t>
            </w:r>
          </w:p>
        </w:tc>
      </w:tr>
      <w:tr>
        <w:trPr>
          <w:trHeight w:val="450"/>
        </w:trPr>
        <w:tc>
          <w:tcPr>
            <w:tcW w:w="68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29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 xml:space="preserve">/s/ </w:t>
            </w:r>
            <w:r>
              <w:rPr>
                <w:rFonts w:ascii="Times New Roman" w:cs="Times New Roman" w:eastAsia="Times New Roman" w:hAnsi="Times New Roman"/>
                <w:sz w:val="17"/>
                <w:szCs w:val="17"/>
                <w:i w:val="1"/>
                <w:iCs w:val="1"/>
                <w:color w:val="auto"/>
              </w:rPr>
              <w:t>Michael J. Sena</w:t>
            </w:r>
          </w:p>
        </w:tc>
      </w:tr>
      <w:tr>
        <w:trPr>
          <w:trHeight w:val="202"/>
        </w:trPr>
        <w:tc>
          <w:tcPr>
            <w:tcW w:w="68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2940" w:type="dxa"/>
            <w:vAlign w:val="bottom"/>
          </w:tcPr>
          <w:p>
            <w:pPr>
              <w:spacing w:after="0"/>
              <w:rPr>
                <w:sz w:val="20"/>
                <w:szCs w:val="20"/>
                <w:color w:val="auto"/>
              </w:rPr>
            </w:pPr>
            <w:r>
              <w:rPr>
                <w:rFonts w:ascii="Times New Roman" w:cs="Times New Roman" w:eastAsia="Times New Roman" w:hAnsi="Times New Roman"/>
                <w:sz w:val="17"/>
                <w:szCs w:val="17"/>
                <w:color w:val="auto"/>
              </w:rPr>
              <w:t>Michael J. Sena</w:t>
            </w:r>
          </w:p>
        </w:tc>
      </w:tr>
      <w:tr>
        <w:trPr>
          <w:trHeight w:val="170"/>
        </w:trPr>
        <w:tc>
          <w:tcPr>
            <w:tcW w:w="680" w:type="dxa"/>
            <w:vAlign w:val="bottom"/>
          </w:tcPr>
          <w:p>
            <w:pPr>
              <w:spacing w:after="0" w:line="170" w:lineRule="exact"/>
              <w:rPr>
                <w:sz w:val="20"/>
                <w:szCs w:val="20"/>
                <w:color w:val="auto"/>
              </w:rPr>
            </w:pPr>
            <w:r>
              <w:rPr>
                <w:rFonts w:ascii="Times New Roman" w:cs="Times New Roman" w:eastAsia="Times New Roman" w:hAnsi="Times New Roman"/>
                <w:sz w:val="17"/>
                <w:szCs w:val="17"/>
                <w:color w:val="auto"/>
              </w:rPr>
              <w:t>Title:</w:t>
            </w:r>
          </w:p>
        </w:tc>
        <w:tc>
          <w:tcPr>
            <w:tcW w:w="2940" w:type="dxa"/>
            <w:vAlign w:val="bottom"/>
          </w:tcPr>
          <w:p>
            <w:pPr>
              <w:ind w:left="40"/>
              <w:spacing w:after="0" w:line="170" w:lineRule="exact"/>
              <w:rPr>
                <w:sz w:val="20"/>
                <w:szCs w:val="20"/>
                <w:color w:val="auto"/>
              </w:rPr>
            </w:pPr>
            <w:r>
              <w:rPr>
                <w:rFonts w:ascii="Times New Roman" w:cs="Times New Roman" w:eastAsia="Times New Roman" w:hAnsi="Times New Roman"/>
                <w:sz w:val="17"/>
                <w:szCs w:val="17"/>
                <w:color w:val="auto"/>
              </w:rPr>
              <w:t>Chief Executive Officer and Chief</w:t>
            </w:r>
          </w:p>
        </w:tc>
      </w:tr>
      <w:tr>
        <w:trPr>
          <w:trHeight w:val="219"/>
        </w:trPr>
        <w:tc>
          <w:tcPr>
            <w:tcW w:w="680" w:type="dxa"/>
            <w:vAlign w:val="bottom"/>
          </w:tcPr>
          <w:p>
            <w:pPr>
              <w:spacing w:after="0"/>
              <w:rPr>
                <w:sz w:val="19"/>
                <w:szCs w:val="19"/>
                <w:color w:val="auto"/>
              </w:rPr>
            </w:pPr>
          </w:p>
        </w:tc>
        <w:tc>
          <w:tcPr>
            <w:tcW w:w="29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Financial Officer</w:t>
            </w:r>
          </w:p>
        </w:tc>
      </w:tr>
    </w:tbl>
    <w:p>
      <w:pPr>
        <w:spacing w:after="0" w:line="200" w:lineRule="exact"/>
        <w:rPr>
          <w:sz w:val="20"/>
          <w:szCs w:val="20"/>
          <w:color w:val="auto"/>
        </w:rPr>
      </w:pPr>
    </w:p>
    <w:p>
      <w:pPr>
        <w:spacing w:after="0" w:line="210"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7"/>
          <w:szCs w:val="17"/>
          <w:color w:val="auto"/>
        </w:rPr>
        <w:t>U.S. Bank Trust Company, National Association,</w:t>
      </w:r>
    </w:p>
    <w:p>
      <w:pPr>
        <w:ind w:left="2560"/>
        <w:spacing w:after="0"/>
        <w:rPr>
          <w:sz w:val="20"/>
          <w:szCs w:val="20"/>
          <w:color w:val="auto"/>
        </w:rPr>
      </w:pPr>
      <w:r>
        <w:rPr>
          <w:rFonts w:ascii="Times New Roman" w:cs="Times New Roman" w:eastAsia="Times New Roman" w:hAnsi="Times New Roman"/>
          <w:sz w:val="17"/>
          <w:szCs w:val="17"/>
          <w:color w:val="auto"/>
        </w:rPr>
        <w:t>As Trustee</w:t>
      </w:r>
    </w:p>
    <w:p>
      <w:pPr>
        <w:spacing w:after="0" w:line="207" w:lineRule="exact"/>
        <w:rPr>
          <w:sz w:val="20"/>
          <w:szCs w:val="20"/>
          <w:color w:val="auto"/>
        </w:rPr>
      </w:pPr>
    </w:p>
    <w:p>
      <w:pPr>
        <w:ind w:left="2560"/>
        <w:spacing w:after="0"/>
        <w:tabs>
          <w:tab w:leader="none" w:pos="322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i w:val="1"/>
          <w:iCs w:val="1"/>
          <w:color w:val="auto"/>
        </w:rPr>
        <w:t>/s/ Quinton M. DePompolo</w:t>
      </w:r>
    </w:p>
    <w:p>
      <w:pPr>
        <w:spacing w:after="0" w:line="28" w:lineRule="exact"/>
        <w:rPr>
          <w:sz w:val="20"/>
          <w:szCs w:val="20"/>
          <w:color w:val="auto"/>
        </w:rPr>
      </w:pPr>
    </w:p>
    <w:p>
      <w:pPr>
        <w:ind w:left="2560"/>
        <w:spacing w:after="0"/>
        <w:tabs>
          <w:tab w:leader="none" w:pos="3220" w:val="left"/>
        </w:tabs>
        <w:rPr>
          <w:sz w:val="20"/>
          <w:szCs w:val="20"/>
          <w:color w:val="auto"/>
        </w:rPr>
      </w:pPr>
      <w:r>
        <w:rPr>
          <w:rFonts w:ascii="Times New Roman" w:cs="Times New Roman" w:eastAsia="Times New Roman" w:hAnsi="Times New Roman"/>
          <w:sz w:val="17"/>
          <w:szCs w:val="17"/>
          <w:color w:val="auto"/>
        </w:rPr>
        <w:t>Name:</w:t>
        <w:tab/>
        <w:t>Quinton M. DePompolo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2051050</wp:posOffset>
            </wp:positionH>
            <wp:positionV relativeFrom="paragraph">
              <wp:posOffset>-121285</wp:posOffset>
            </wp:positionV>
            <wp:extent cx="1873250" cy="698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873250" cy="6985"/>
                    </a:xfrm>
                    <a:prstGeom prst="rect">
                      <a:avLst/>
                    </a:prstGeom>
                    <a:noFill/>
                  </pic:spPr>
                </pic:pic>
              </a:graphicData>
            </a:graphic>
          </wp:anchor>
        </w:drawing>
      </w:r>
    </w:p>
    <w:p>
      <w:pPr>
        <w:spacing w:after="0" w:line="7" w:lineRule="exact"/>
        <w:rPr>
          <w:sz w:val="20"/>
          <w:szCs w:val="20"/>
          <w:color w:val="auto"/>
        </w:rPr>
      </w:pPr>
    </w:p>
    <w:p>
      <w:pPr>
        <w:ind w:left="2560"/>
        <w:spacing w:after="0"/>
        <w:tabs>
          <w:tab w:leader="none" w:pos="3220" w:val="left"/>
        </w:tabs>
        <w:rPr>
          <w:sz w:val="20"/>
          <w:szCs w:val="20"/>
          <w:color w:val="auto"/>
        </w:rPr>
      </w:pPr>
      <w:r>
        <w:rPr>
          <w:rFonts w:ascii="Times New Roman" w:cs="Times New Roman" w:eastAsia="Times New Roman" w:hAnsi="Times New Roman"/>
          <w:sz w:val="17"/>
          <w:szCs w:val="17"/>
          <w:color w:val="auto"/>
        </w:rPr>
        <w:t>Title:</w:t>
      </w:r>
      <w:r>
        <w:rPr>
          <w:sz w:val="20"/>
          <w:szCs w:val="20"/>
          <w:color w:val="auto"/>
        </w:rPr>
        <w:tab/>
      </w:r>
      <w:r>
        <w:rPr>
          <w:rFonts w:ascii="Times New Roman" w:cs="Times New Roman" w:eastAsia="Times New Roman" w:hAnsi="Times New Roman"/>
          <w:sz w:val="17"/>
          <w:szCs w:val="17"/>
          <w:color w:val="auto"/>
        </w:rPr>
        <w:t>Vice President</w:t>
      </w:r>
    </w:p>
    <w:p>
      <w:pPr>
        <w:spacing w:after="0" w:line="200" w:lineRule="exact"/>
        <w:rPr>
          <w:sz w:val="20"/>
          <w:szCs w:val="20"/>
          <w:color w:val="auto"/>
        </w:rPr>
      </w:pPr>
    </w:p>
    <w:p>
      <w:pPr>
        <w:spacing w:after="0" w:line="226"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7"/>
          <w:szCs w:val="17"/>
          <w:color w:val="auto"/>
        </w:rPr>
        <w:t>U.S. Bank Trust Company, National Association,</w:t>
      </w:r>
    </w:p>
    <w:p>
      <w:pPr>
        <w:ind w:left="2560"/>
        <w:spacing w:after="0"/>
        <w:rPr>
          <w:sz w:val="20"/>
          <w:szCs w:val="20"/>
          <w:color w:val="auto"/>
        </w:rPr>
      </w:pPr>
      <w:r>
        <w:rPr>
          <w:rFonts w:ascii="Times New Roman" w:cs="Times New Roman" w:eastAsia="Times New Roman" w:hAnsi="Times New Roman"/>
          <w:sz w:val="17"/>
          <w:szCs w:val="17"/>
          <w:color w:val="auto"/>
        </w:rPr>
        <w:t>As Collateral Trustee</w:t>
      </w:r>
    </w:p>
    <w:p>
      <w:pPr>
        <w:spacing w:after="0" w:line="207" w:lineRule="exact"/>
        <w:rPr>
          <w:sz w:val="20"/>
          <w:szCs w:val="20"/>
          <w:color w:val="auto"/>
        </w:rPr>
      </w:pPr>
    </w:p>
    <w:p>
      <w:pPr>
        <w:ind w:left="2560"/>
        <w:spacing w:after="0"/>
        <w:tabs>
          <w:tab w:leader="none" w:pos="322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i w:val="1"/>
          <w:iCs w:val="1"/>
          <w:color w:val="auto"/>
        </w:rPr>
        <w:t>/s/ Quinton M. DePompolo</w:t>
      </w:r>
    </w:p>
    <w:p>
      <w:pPr>
        <w:spacing w:after="0" w:line="28" w:lineRule="exact"/>
        <w:rPr>
          <w:sz w:val="20"/>
          <w:szCs w:val="20"/>
          <w:color w:val="auto"/>
        </w:rPr>
      </w:pPr>
    </w:p>
    <w:p>
      <w:pPr>
        <w:ind w:left="2560"/>
        <w:spacing w:after="0"/>
        <w:tabs>
          <w:tab w:leader="none" w:pos="3220" w:val="left"/>
        </w:tabs>
        <w:rPr>
          <w:sz w:val="20"/>
          <w:szCs w:val="20"/>
          <w:color w:val="auto"/>
        </w:rPr>
      </w:pPr>
      <w:r>
        <w:rPr>
          <w:rFonts w:ascii="Times New Roman" w:cs="Times New Roman" w:eastAsia="Times New Roman" w:hAnsi="Times New Roman"/>
          <w:sz w:val="17"/>
          <w:szCs w:val="17"/>
          <w:color w:val="auto"/>
        </w:rPr>
        <w:t>Name:</w:t>
        <w:tab/>
        <w:t>Quinton M. DePompolo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2051050</wp:posOffset>
            </wp:positionH>
            <wp:positionV relativeFrom="paragraph">
              <wp:posOffset>-121285</wp:posOffset>
            </wp:positionV>
            <wp:extent cx="1873250" cy="698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873250" cy="6985"/>
                    </a:xfrm>
                    <a:prstGeom prst="rect">
                      <a:avLst/>
                    </a:prstGeom>
                    <a:noFill/>
                  </pic:spPr>
                </pic:pic>
              </a:graphicData>
            </a:graphic>
          </wp:anchor>
        </w:drawing>
      </w:r>
    </w:p>
    <w:p>
      <w:pPr>
        <w:spacing w:after="0" w:line="7" w:lineRule="exact"/>
        <w:rPr>
          <w:sz w:val="20"/>
          <w:szCs w:val="20"/>
          <w:color w:val="auto"/>
        </w:rPr>
      </w:pPr>
    </w:p>
    <w:p>
      <w:pPr>
        <w:ind w:left="2560"/>
        <w:spacing w:after="0"/>
        <w:tabs>
          <w:tab w:leader="none" w:pos="3220" w:val="left"/>
        </w:tabs>
        <w:rPr>
          <w:sz w:val="20"/>
          <w:szCs w:val="20"/>
          <w:color w:val="auto"/>
        </w:rPr>
      </w:pPr>
      <w:r>
        <w:rPr>
          <w:rFonts w:ascii="Times New Roman" w:cs="Times New Roman" w:eastAsia="Times New Roman" w:hAnsi="Times New Roman"/>
          <w:sz w:val="17"/>
          <w:szCs w:val="17"/>
          <w:color w:val="auto"/>
        </w:rPr>
        <w:t>Title:</w:t>
      </w:r>
      <w:r>
        <w:rPr>
          <w:sz w:val="20"/>
          <w:szCs w:val="20"/>
          <w:color w:val="auto"/>
        </w:rPr>
        <w:tab/>
      </w:r>
      <w:r>
        <w:rPr>
          <w:rFonts w:ascii="Times New Roman" w:cs="Times New Roman" w:eastAsia="Times New Roman" w:hAnsi="Times New Roman"/>
          <w:sz w:val="17"/>
          <w:szCs w:val="17"/>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Signature Page to First Supplemental Indenture to New Senior Secured Notes Indenture</w:t>
      </w:r>
      <w:r>
        <w:rPr>
          <w:rFonts w:ascii="Times New Roman" w:cs="Times New Roman" w:eastAsia="Times New Roman" w:hAnsi="Times New Roman"/>
          <w:sz w:val="16"/>
          <w:szCs w:val="16"/>
          <w:color w:val="auto"/>
        </w:rPr>
        <w:t>]</w:t>
      </w:r>
    </w:p>
    <w:p>
      <w:pPr>
        <w:sectPr>
          <w:pgSz w:w="11900" w:h="16838" w:orient="portrait"/>
          <w:cols w:equalWidth="0" w:num="1">
            <w:col w:w="10620"/>
          </w:cols>
          <w:pgMar w:left="820" w:top="1148" w:right="459" w:bottom="1440" w:gutter="0" w:footer="0" w:header="0"/>
          <w:type w:val="continuous"/>
        </w:sectPr>
      </w:pPr>
    </w:p>
    <w:bookmarkStart w:id="190" w:name="page191"/>
    <w:bookmarkEnd w:id="190"/>
    <w:p>
      <w:pPr>
        <w:jc w:val="right"/>
        <w:spacing w:after="0"/>
        <w:rPr>
          <w:sz w:val="20"/>
          <w:szCs w:val="20"/>
          <w:color w:val="auto"/>
        </w:rPr>
      </w:pPr>
      <w:r>
        <w:rPr>
          <w:rFonts w:ascii="Times New Roman" w:cs="Times New Roman" w:eastAsia="Times New Roman" w:hAnsi="Times New Roman"/>
          <w:sz w:val="17"/>
          <w:szCs w:val="17"/>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FIRST SUPPLEMENTAL INDENTURE</w:t>
      </w:r>
    </w:p>
    <w:p>
      <w:pPr>
        <w:spacing w:after="0" w:line="172"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7"/>
          <w:szCs w:val="17"/>
          <w:color w:val="auto"/>
        </w:rPr>
        <w:t>FIRST SUPPLEMENTAL INDENTURE (this “</w:t>
      </w:r>
      <w:r>
        <w:rPr>
          <w:rFonts w:ascii="Times New Roman" w:cs="Times New Roman" w:eastAsia="Times New Roman" w:hAnsi="Times New Roman"/>
          <w:sz w:val="17"/>
          <w:szCs w:val="17"/>
          <w:i w:val="1"/>
          <w:iCs w:val="1"/>
          <w:color w:val="auto"/>
        </w:rPr>
        <w:t>Supplemental Indenture</w:t>
      </w:r>
      <w:r>
        <w:rPr>
          <w:rFonts w:ascii="Times New Roman" w:cs="Times New Roman" w:eastAsia="Times New Roman" w:hAnsi="Times New Roman"/>
          <w:sz w:val="17"/>
          <w:szCs w:val="17"/>
          <w:color w:val="auto"/>
        </w:rPr>
        <w:t>”), dated as of May 29, 2026, by and among INNOVATE Corp. (f/k/a HC2 Holdings, Inc.), a Delaware corporation (the “</w:t>
      </w:r>
      <w:r>
        <w:rPr>
          <w:rFonts w:ascii="Times New Roman" w:cs="Times New Roman" w:eastAsia="Times New Roman" w:hAnsi="Times New Roman"/>
          <w:sz w:val="17"/>
          <w:szCs w:val="17"/>
          <w:i w:val="1"/>
          <w:iCs w:val="1"/>
          <w:color w:val="auto"/>
        </w:rPr>
        <w:t>Company</w:t>
      </w:r>
      <w:r>
        <w:rPr>
          <w:rFonts w:ascii="Times New Roman" w:cs="Times New Roman" w:eastAsia="Times New Roman" w:hAnsi="Times New Roman"/>
          <w:sz w:val="17"/>
          <w:szCs w:val="17"/>
          <w:color w:val="auto"/>
        </w:rPr>
        <w:t>”), the subsidiary guarantors party to the Indenture referred to below (the “</w:t>
      </w:r>
      <w:r>
        <w:rPr>
          <w:rFonts w:ascii="Times New Roman" w:cs="Times New Roman" w:eastAsia="Times New Roman" w:hAnsi="Times New Roman"/>
          <w:sz w:val="17"/>
          <w:szCs w:val="17"/>
          <w:i w:val="1"/>
          <w:iCs w:val="1"/>
          <w:color w:val="auto"/>
        </w:rPr>
        <w:t>Subsidiary Guarantors</w:t>
      </w:r>
      <w:r>
        <w:rPr>
          <w:rFonts w:ascii="Times New Roman" w:cs="Times New Roman" w:eastAsia="Times New Roman" w:hAnsi="Times New Roman"/>
          <w:sz w:val="17"/>
          <w:szCs w:val="17"/>
          <w:color w:val="auto"/>
        </w:rPr>
        <w:t>”) and U.S. Bank Trust Company, National Association, as trustee (the “</w:t>
      </w:r>
      <w:r>
        <w:rPr>
          <w:rFonts w:ascii="Times New Roman" w:cs="Times New Roman" w:eastAsia="Times New Roman" w:hAnsi="Times New Roman"/>
          <w:sz w:val="17"/>
          <w:szCs w:val="17"/>
          <w:i w:val="1"/>
          <w:iCs w:val="1"/>
          <w:color w:val="auto"/>
        </w:rPr>
        <w:t>Trustee</w:t>
      </w:r>
      <w:r>
        <w:rPr>
          <w:rFonts w:ascii="Times New Roman" w:cs="Times New Roman" w:eastAsia="Times New Roman" w:hAnsi="Times New Roman"/>
          <w:sz w:val="17"/>
          <w:szCs w:val="17"/>
          <w:color w:val="auto"/>
        </w:rPr>
        <w:t>”) and collateral trustee (the “</w:t>
      </w:r>
      <w:r>
        <w:rPr>
          <w:rFonts w:ascii="Times New Roman" w:cs="Times New Roman" w:eastAsia="Times New Roman" w:hAnsi="Times New Roman"/>
          <w:sz w:val="17"/>
          <w:szCs w:val="17"/>
          <w:i w:val="1"/>
          <w:iCs w:val="1"/>
          <w:color w:val="auto"/>
        </w:rPr>
        <w:t>Collateral Trustee</w:t>
      </w:r>
      <w:r>
        <w:rPr>
          <w:rFonts w:ascii="Times New Roman" w:cs="Times New Roman" w:eastAsia="Times New Roman" w:hAnsi="Times New Roman"/>
          <w:sz w:val="17"/>
          <w:szCs w:val="17"/>
          <w:color w:val="auto"/>
        </w:rPr>
        <w:t>”) under the Indenture referred to below.</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 I T N E S S E T H</w:t>
      </w:r>
    </w:p>
    <w:p>
      <w:pPr>
        <w:spacing w:after="0" w:line="176" w:lineRule="exact"/>
        <w:rPr>
          <w:sz w:val="20"/>
          <w:szCs w:val="20"/>
          <w:color w:val="auto"/>
        </w:rPr>
      </w:pPr>
    </w:p>
    <w:p>
      <w:pPr>
        <w:jc w:val="both"/>
        <w:ind w:firstLine="509"/>
        <w:spacing w:after="0" w:line="276" w:lineRule="auto"/>
        <w:rPr>
          <w:sz w:val="20"/>
          <w:szCs w:val="20"/>
          <w:color w:val="auto"/>
        </w:rPr>
      </w:pPr>
      <w:r>
        <w:rPr>
          <w:rFonts w:ascii="Times New Roman" w:cs="Times New Roman" w:eastAsia="Times New Roman" w:hAnsi="Times New Roman"/>
          <w:sz w:val="17"/>
          <w:szCs w:val="17"/>
          <w:color w:val="auto"/>
        </w:rPr>
        <w:t>WHEREAS, the Company and Subsidiary Guarantors have heretofore executed and delivered to the Trustee and the Collateral Trustee an indenture (the “</w:t>
      </w:r>
      <w:r>
        <w:rPr>
          <w:rFonts w:ascii="Times New Roman" w:cs="Times New Roman" w:eastAsia="Times New Roman" w:hAnsi="Times New Roman"/>
          <w:sz w:val="17"/>
          <w:szCs w:val="17"/>
          <w:i w:val="1"/>
          <w:iCs w:val="1"/>
          <w:color w:val="auto"/>
        </w:rPr>
        <w:t>Indenture</w:t>
      </w:r>
      <w:r>
        <w:rPr>
          <w:rFonts w:ascii="Times New Roman" w:cs="Times New Roman" w:eastAsia="Times New Roman" w:hAnsi="Times New Roman"/>
          <w:sz w:val="17"/>
          <w:szCs w:val="17"/>
          <w:color w:val="auto"/>
        </w:rPr>
        <w:t>”), dated as of August 4, 2025, providing for the issuance of 9.5% Convertible Senior Secured Notes due 2027 (the “</w:t>
      </w:r>
      <w:r>
        <w:rPr>
          <w:rFonts w:ascii="Times New Roman" w:cs="Times New Roman" w:eastAsia="Times New Roman" w:hAnsi="Times New Roman"/>
          <w:sz w:val="17"/>
          <w:szCs w:val="17"/>
          <w:i w:val="1"/>
          <w:iCs w:val="1"/>
          <w:color w:val="auto"/>
        </w:rPr>
        <w:t>Notes</w:t>
      </w:r>
      <w:r>
        <w:rPr>
          <w:rFonts w:ascii="Times New Roman" w:cs="Times New Roman" w:eastAsia="Times New Roman" w:hAnsi="Times New Roman"/>
          <w:sz w:val="17"/>
          <w:szCs w:val="17"/>
          <w:color w:val="auto"/>
        </w:rPr>
        <w:t>”);</w:t>
      </w:r>
    </w:p>
    <w:p>
      <w:pPr>
        <w:spacing w:after="0" w:line="123"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7"/>
          <w:szCs w:val="17"/>
          <w:color w:val="auto"/>
        </w:rPr>
        <w:t>WHEREAS, Section 16.02 of the Indenture provides that, subject to certain exceptions inapplicable hereto, the Company may amend or supplement the Indenture with the consent of the Holders of at least a majority in aggregate principal amount of the outstanding Notes voting as a single class (the “</w:t>
      </w:r>
      <w:r>
        <w:rPr>
          <w:rFonts w:ascii="Times New Roman" w:cs="Times New Roman" w:eastAsia="Times New Roman" w:hAnsi="Times New Roman"/>
          <w:sz w:val="17"/>
          <w:szCs w:val="17"/>
          <w:i w:val="1"/>
          <w:iCs w:val="1"/>
          <w:color w:val="auto"/>
        </w:rPr>
        <w:t>Requisite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Holders</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7"/>
          <w:szCs w:val="17"/>
          <w:color w:val="auto"/>
        </w:rPr>
        <w:t xml:space="preserve">WHEREAS, as evidenced by the Officer’s Certificate delivered to the Trustee by the Company on the date hereof, pursuant to Section 16.03 of the Indenture, the Requisite Holders as of the date hereof have delivered their consents to (i) amend the Indenture as set forth in </w:t>
      </w:r>
      <w:r>
        <w:rPr>
          <w:rFonts w:ascii="Times New Roman" w:cs="Times New Roman" w:eastAsia="Times New Roman" w:hAnsi="Times New Roman"/>
          <w:sz w:val="17"/>
          <w:szCs w:val="17"/>
          <w:u w:val="single" w:color="auto"/>
          <w:color w:val="auto"/>
        </w:rPr>
        <w:t>Article 2</w:t>
      </w:r>
      <w:r>
        <w:rPr>
          <w:rFonts w:ascii="Times New Roman" w:cs="Times New Roman" w:eastAsia="Times New Roman" w:hAnsi="Times New Roman"/>
          <w:sz w:val="17"/>
          <w:szCs w:val="17"/>
          <w:color w:val="auto"/>
        </w:rPr>
        <w:t xml:space="preserve"> herein in accordance with the provisions of the Indenture, (ii) consent to the HC2B Transactions (as defined below), and (iii) waive any potential Default or Event of Default that may have occurred, or that may arise under the Indenture, directly or indirectly, as a result of the HC2B Transactions;</w:t>
      </w:r>
    </w:p>
    <w:p>
      <w:pPr>
        <w:spacing w:after="0" w:line="139" w:lineRule="exact"/>
        <w:rPr>
          <w:sz w:val="20"/>
          <w:szCs w:val="20"/>
          <w:color w:val="auto"/>
        </w:rPr>
      </w:pPr>
    </w:p>
    <w:p>
      <w:pPr>
        <w:jc w:val="both"/>
        <w:ind w:firstLine="509"/>
        <w:spacing w:after="0" w:line="289" w:lineRule="auto"/>
        <w:rPr>
          <w:sz w:val="20"/>
          <w:szCs w:val="20"/>
          <w:color w:val="auto"/>
        </w:rPr>
      </w:pPr>
      <w:r>
        <w:rPr>
          <w:rFonts w:ascii="Times New Roman" w:cs="Times New Roman" w:eastAsia="Times New Roman" w:hAnsi="Times New Roman"/>
          <w:sz w:val="17"/>
          <w:szCs w:val="17"/>
          <w:color w:val="auto"/>
        </w:rPr>
        <w:t>WHEREAS, pursuant to Section 16.03 of the Indenture, the Trustee has received an Officer’s Certificate and an Opinion of Counsel from the Company and is authorized to execute and deliver this Supplemental Indenture; and</w:t>
      </w:r>
    </w:p>
    <w:p>
      <w:pPr>
        <w:spacing w:after="0" w:line="113" w:lineRule="exact"/>
        <w:rPr>
          <w:sz w:val="20"/>
          <w:szCs w:val="20"/>
          <w:color w:val="auto"/>
        </w:rPr>
      </w:pPr>
    </w:p>
    <w:p>
      <w:pPr>
        <w:jc w:val="both"/>
        <w:ind w:firstLine="509"/>
        <w:spacing w:after="0" w:line="276" w:lineRule="auto"/>
        <w:rPr>
          <w:sz w:val="20"/>
          <w:szCs w:val="20"/>
          <w:color w:val="auto"/>
        </w:rPr>
      </w:pPr>
      <w:r>
        <w:rPr>
          <w:rFonts w:ascii="Times New Roman" w:cs="Times New Roman" w:eastAsia="Times New Roman" w:hAnsi="Times New Roman"/>
          <w:sz w:val="17"/>
          <w:szCs w:val="17"/>
          <w:color w:val="auto"/>
        </w:rPr>
        <w:t>WHEREAS, all conditions necessary to authorize the execution and delivery of this Supplemental Indenture and make it a valid and binding obligation of the Company, in accordance with its terms, have been done, performed or waived.</w:t>
      </w:r>
    </w:p>
    <w:p>
      <w:pPr>
        <w:spacing w:after="0" w:line="1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NOW, THEREFORE, in consideration of the foregoing and for other good and valuable consideration, the receipt of which is hereby acknowledged, the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Company and the Trustee covenant and agree for the equal and ratable benefit of the Holders of the Notes as follows:</w:t>
      </w:r>
    </w:p>
    <w:p>
      <w:pPr>
        <w:spacing w:after="0" w:line="169"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7"/>
          <w:szCs w:val="17"/>
          <w:color w:val="auto"/>
        </w:rPr>
        <w:t>ARTICLE 1.</w:t>
      </w:r>
    </w:p>
    <w:p>
      <w:pPr>
        <w:spacing w:after="0" w:line="24"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7"/>
          <w:szCs w:val="17"/>
          <w:color w:val="auto"/>
        </w:rPr>
        <w:t>DEFINITIONS</w:t>
      </w:r>
    </w:p>
    <w:p>
      <w:pPr>
        <w:spacing w:after="0" w:line="154" w:lineRule="exact"/>
        <w:rPr>
          <w:sz w:val="20"/>
          <w:szCs w:val="20"/>
          <w:color w:val="auto"/>
        </w:rPr>
      </w:pPr>
    </w:p>
    <w:p>
      <w:pPr>
        <w:ind w:left="200"/>
        <w:spacing w:after="0"/>
        <w:tabs>
          <w:tab w:leader="none" w:pos="1240" w:val="left"/>
        </w:tabs>
        <w:rPr>
          <w:sz w:val="20"/>
          <w:szCs w:val="20"/>
          <w:color w:val="auto"/>
        </w:rPr>
      </w:pPr>
      <w:r>
        <w:rPr>
          <w:rFonts w:ascii="Times New Roman" w:cs="Times New Roman" w:eastAsia="Times New Roman" w:hAnsi="Times New Roman"/>
          <w:sz w:val="17"/>
          <w:szCs w:val="17"/>
          <w:color w:val="auto"/>
        </w:rPr>
        <w:t>Section 1.01</w:t>
      </w:r>
      <w:r>
        <w:rPr>
          <w:sz w:val="20"/>
          <w:szCs w:val="20"/>
          <w:color w:val="auto"/>
        </w:rPr>
        <w:tab/>
      </w:r>
      <w:r>
        <w:rPr>
          <w:rFonts w:ascii="Times New Roman" w:cs="Times New Roman" w:eastAsia="Times New Roman" w:hAnsi="Times New Roman"/>
          <w:sz w:val="16"/>
          <w:szCs w:val="16"/>
          <w:i w:val="1"/>
          <w:iCs w:val="1"/>
          <w:color w:val="auto"/>
        </w:rPr>
        <w:t>Capitalized Terms</w:t>
      </w:r>
      <w:r>
        <w:rPr>
          <w:rFonts w:ascii="Times New Roman" w:cs="Times New Roman" w:eastAsia="Times New Roman" w:hAnsi="Times New Roman"/>
          <w:sz w:val="16"/>
          <w:szCs w:val="16"/>
          <w:color w:val="auto"/>
        </w:rPr>
        <w:t>. Capitalized terms used herein without definition shall have the meanings assigned to them in the Indenture.</w:t>
      </w:r>
    </w:p>
    <w:p>
      <w:pPr>
        <w:sectPr>
          <w:pgSz w:w="11900" w:h="16838" w:orient="portrait"/>
          <w:cols w:equalWidth="0" w:num="1">
            <w:col w:w="11280"/>
          </w:cols>
          <w:pgMar w:left="300" w:top="125" w:right="319" w:bottom="1440" w:gutter="0" w:footer="0" w:header="0"/>
        </w:sectPr>
      </w:pPr>
    </w:p>
    <w:bookmarkStart w:id="191" w:name="page192"/>
    <w:bookmarkEnd w:id="191"/>
    <w:p>
      <w:pPr>
        <w:jc w:val="center"/>
        <w:ind w:right="-319"/>
        <w:spacing w:after="0"/>
        <w:rPr>
          <w:sz w:val="20"/>
          <w:szCs w:val="20"/>
          <w:color w:val="auto"/>
        </w:rPr>
      </w:pPr>
      <w:r>
        <w:rPr>
          <w:rFonts w:ascii="Times New Roman" w:cs="Times New Roman" w:eastAsia="Times New Roman" w:hAnsi="Times New Roman"/>
          <w:sz w:val="17"/>
          <w:szCs w:val="17"/>
          <w:color w:val="auto"/>
        </w:rPr>
        <w:t>ARTICLE 2.</w:t>
      </w:r>
    </w:p>
    <w:p>
      <w:pPr>
        <w:spacing w:after="0" w:line="2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AMENDMENTS</w:t>
      </w:r>
    </w:p>
    <w:p>
      <w:pPr>
        <w:spacing w:after="0" w:line="154"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7"/>
          <w:szCs w:val="17"/>
          <w:color w:val="auto"/>
        </w:rPr>
        <w:t>Section 2.01</w:t>
      </w:r>
      <w:r>
        <w:rPr>
          <w:sz w:val="20"/>
          <w:szCs w:val="20"/>
          <w:color w:val="auto"/>
        </w:rPr>
        <w:tab/>
      </w:r>
      <w:r>
        <w:rPr>
          <w:rFonts w:ascii="Times New Roman" w:cs="Times New Roman" w:eastAsia="Times New Roman" w:hAnsi="Times New Roman"/>
          <w:sz w:val="16"/>
          <w:szCs w:val="16"/>
          <w:i w:val="1"/>
          <w:iCs w:val="1"/>
          <w:color w:val="auto"/>
        </w:rPr>
        <w:t>Amendments to Indenture</w:t>
      </w:r>
      <w:r>
        <w:rPr>
          <w:rFonts w:ascii="Times New Roman" w:cs="Times New Roman" w:eastAsia="Times New Roman" w:hAnsi="Times New Roman"/>
          <w:sz w:val="16"/>
          <w:szCs w:val="16"/>
          <w:color w:val="auto"/>
        </w:rPr>
        <w:t>. The terms of the Indenture shall be amended as set forth in this Article 2.</w:t>
      </w:r>
    </w:p>
    <w:p>
      <w:pPr>
        <w:spacing w:after="0" w:line="180" w:lineRule="exact"/>
        <w:rPr>
          <w:sz w:val="20"/>
          <w:szCs w:val="20"/>
          <w:color w:val="auto"/>
        </w:rPr>
      </w:pPr>
    </w:p>
    <w:p>
      <w:pPr>
        <w:ind w:left="620" w:hanging="306"/>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1.01 of the Indenture is hereby amended by:</w:t>
      </w:r>
    </w:p>
    <w:p>
      <w:pPr>
        <w:spacing w:after="0" w:line="37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(i) adding the following definitions in their relevant alphabetical location:</w:t>
      </w:r>
    </w:p>
    <w:p>
      <w:pPr>
        <w:spacing w:after="0" w:line="19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New HC2 HoldCo</w:t>
      </w:r>
      <w:r>
        <w:rPr>
          <w:rFonts w:ascii="Times New Roman" w:cs="Times New Roman" w:eastAsia="Times New Roman" w:hAnsi="Times New Roman"/>
          <w:sz w:val="17"/>
          <w:szCs w:val="17"/>
          <w:color w:val="auto"/>
        </w:rPr>
        <w:t>” means HC2 Broadcasting Holdco, LLC, a Delaware limited liability company.</w:t>
      </w:r>
    </w:p>
    <w:p>
      <w:pPr>
        <w:spacing w:after="0" w:line="19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HC2B</w:t>
      </w:r>
      <w:r>
        <w:rPr>
          <w:rFonts w:ascii="Times New Roman" w:cs="Times New Roman" w:eastAsia="Times New Roman" w:hAnsi="Times New Roman"/>
          <w:sz w:val="17"/>
          <w:szCs w:val="17"/>
          <w:color w:val="auto"/>
        </w:rPr>
        <w:t>” means, collectively, New HC2 HoldCo and its Subsidiaries.</w:t>
      </w:r>
    </w:p>
    <w:p>
      <w:pPr>
        <w:spacing w:after="0" w:line="197" w:lineRule="exact"/>
        <w:rPr>
          <w:sz w:val="20"/>
          <w:szCs w:val="20"/>
          <w:color w:val="auto"/>
        </w:rPr>
      </w:pPr>
    </w:p>
    <w:p>
      <w:pPr>
        <w:jc w:val="both"/>
        <w:ind w:left="560" w:firstLine="509"/>
        <w:spacing w:after="0" w:line="26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HC2B Merger Agreement</w:t>
      </w:r>
      <w:r>
        <w:rPr>
          <w:rFonts w:ascii="Times New Roman" w:cs="Times New Roman" w:eastAsia="Times New Roman" w:hAnsi="Times New Roman"/>
          <w:sz w:val="17"/>
          <w:szCs w:val="17"/>
          <w:color w:val="auto"/>
        </w:rPr>
        <w:t>” means that certain Agreement and Plan of Merger, by and among CONX Corp., a Nevada corporation, HC2 Merger Sub, LLC, a Delaware limited liability company, HC2, New HC2 HoldCo, and HC2 Broadcasting Holdings Inc., a Delaware corporation, as amended, restated, supplemented or otherwise modified or replaced from time to time.</w:t>
      </w:r>
    </w:p>
    <w:p>
      <w:pPr>
        <w:spacing w:after="0" w:line="161" w:lineRule="exact"/>
        <w:rPr>
          <w:sz w:val="20"/>
          <w:szCs w:val="20"/>
          <w:color w:val="auto"/>
        </w:rPr>
      </w:pPr>
    </w:p>
    <w:p>
      <w:pPr>
        <w:jc w:val="both"/>
        <w:ind w:left="560" w:firstLine="509"/>
        <w:spacing w:after="0" w:line="26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HC2 Sale</w:t>
      </w:r>
      <w:r>
        <w:rPr>
          <w:rFonts w:ascii="Times New Roman" w:cs="Times New Roman" w:eastAsia="Times New Roman" w:hAnsi="Times New Roman"/>
          <w:sz w:val="17"/>
          <w:szCs w:val="17"/>
          <w:color w:val="auto"/>
        </w:rPr>
        <w:t>” means the sale or disposition by the Company and its Subsidiaries of an amount of equity in New HC2 HoldCo equal to 75% (or more than 75% by way of a purchase price adjustment or indemnity claim) of the combined equity of New HC2 HoldCo following the HC2 Sale pursuant to the HC2B Merger Agreement.</w:t>
      </w:r>
    </w:p>
    <w:p>
      <w:pPr>
        <w:spacing w:after="0" w:line="151" w:lineRule="exact"/>
        <w:rPr>
          <w:sz w:val="20"/>
          <w:szCs w:val="20"/>
          <w:color w:val="auto"/>
        </w:rPr>
      </w:pPr>
    </w:p>
    <w:p>
      <w:pPr>
        <w:jc w:val="both"/>
        <w:ind w:left="560" w:firstLine="509"/>
        <w:spacing w:after="0" w:line="25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CONX Loan Agreement</w:t>
      </w:r>
      <w:r>
        <w:rPr>
          <w:rFonts w:ascii="Times New Roman" w:cs="Times New Roman" w:eastAsia="Times New Roman" w:hAnsi="Times New Roman"/>
          <w:sz w:val="17"/>
          <w:szCs w:val="17"/>
          <w:color w:val="auto"/>
        </w:rPr>
        <w:t>” means that certain Loan Agreement, dated as of May 29, 2026, by and among, HC2 Broadcasting Holdings Inc., a Delaware corporation, New HC2 HoldCo, a Delaware corporation, HC2 Broadcasting Intermediate Holdings Inc., a Delaware corporation, HC2 Station Group, Inc., a Delaware corporation, HC2 Network, Inc., a Delaware corporation, HC2 Broadcasting Inc., a Delaware corporation, DTV America Corporation, a Delaware corporation, the other guarantors from time to time party thereto and HC2 Merger Sub, LLC, a Delaware limited liability company, as the lender.</w:t>
      </w:r>
    </w:p>
    <w:p>
      <w:pPr>
        <w:spacing w:after="0" w:line="155" w:lineRule="exact"/>
        <w:rPr>
          <w:sz w:val="20"/>
          <w:szCs w:val="20"/>
          <w:color w:val="auto"/>
        </w:rPr>
      </w:pPr>
    </w:p>
    <w:p>
      <w:pPr>
        <w:jc w:val="both"/>
        <w:ind w:left="560" w:firstLine="509"/>
        <w:spacing w:after="0" w:line="26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EchoStar Side Letter</w:t>
      </w:r>
      <w:r>
        <w:rPr>
          <w:rFonts w:ascii="Times New Roman" w:cs="Times New Roman" w:eastAsia="Times New Roman" w:hAnsi="Times New Roman"/>
          <w:sz w:val="17"/>
          <w:szCs w:val="17"/>
          <w:color w:val="auto"/>
        </w:rPr>
        <w:t>” means that certain letter agreement, dated as of May 29. 2026, by and among, CONX Corp., a Nevada Corporation, EchoStar Corporation, a Nevada corporation (“EchoStar”), and the Company, as amended, restated, supplemented or otherwise modified or replaced from time to time, granting Echostar the option for a period ending on the date that is two years following the date thereof to acquire up to 80.1% of the equity interests of HC2 Broadcasting Holdings Inc.</w:t>
      </w:r>
    </w:p>
    <w:p>
      <w:pPr>
        <w:spacing w:after="0" w:line="151" w:lineRule="exact"/>
        <w:rPr>
          <w:sz w:val="20"/>
          <w:szCs w:val="20"/>
          <w:color w:val="auto"/>
        </w:rPr>
      </w:pPr>
    </w:p>
    <w:p>
      <w:pPr>
        <w:jc w:val="both"/>
        <w:ind w:left="560" w:firstLine="509"/>
        <w:spacing w:after="0" w:line="26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HC2B Transactions</w:t>
      </w:r>
      <w:r>
        <w:rPr>
          <w:rFonts w:ascii="Times New Roman" w:cs="Times New Roman" w:eastAsia="Times New Roman" w:hAnsi="Times New Roman"/>
          <w:sz w:val="17"/>
          <w:szCs w:val="17"/>
          <w:color w:val="auto"/>
        </w:rPr>
        <w:t>” means, collectively, (a) the entry by the Company, the guarantors party thereto and the trustee under the New Senior Secured Notes Indenture into a supplemental indenture to the New Convertible Secured Notes Indenture, dated as of May 29, 2026, the performance of the obligations thereunder</w:t>
      </w:r>
    </w:p>
    <w:p>
      <w:pPr>
        <w:sectPr>
          <w:pgSz w:w="11900" w:h="16838" w:orient="portrait"/>
          <w:cols w:equalWidth="0" w:num="1">
            <w:col w:w="11080"/>
          </w:cols>
          <w:pgMar w:left="500" w:top="1116" w:right="319" w:bottom="1440" w:gutter="0" w:footer="0" w:header="0"/>
        </w:sectPr>
      </w:pPr>
    </w:p>
    <w:bookmarkStart w:id="192" w:name="page193"/>
    <w:bookmarkEnd w:id="192"/>
    <w:p>
      <w:pPr>
        <w:jc w:val="both"/>
        <w:spacing w:after="0" w:line="251" w:lineRule="auto"/>
        <w:rPr>
          <w:sz w:val="20"/>
          <w:szCs w:val="20"/>
          <w:color w:val="auto"/>
        </w:rPr>
      </w:pPr>
      <w:r>
        <w:rPr>
          <w:rFonts w:ascii="Times New Roman" w:cs="Times New Roman" w:eastAsia="Times New Roman" w:hAnsi="Times New Roman"/>
          <w:sz w:val="17"/>
          <w:szCs w:val="17"/>
          <w:color w:val="auto"/>
        </w:rPr>
        <w:t xml:space="preserve">and the consent solicitation process undertaken with respect thereto, (b) the entry by the Company, the guarantors party thereto and the lender under the Revolving Credit Agreement (as such Revolving Credit Agreement may be amended prior to the date hereof, the </w:t>
      </w:r>
      <w:r>
        <w:rPr>
          <w:rFonts w:ascii="Times New Roman" w:cs="Times New Roman" w:eastAsia="Times New Roman" w:hAnsi="Times New Roman"/>
          <w:sz w:val="17"/>
          <w:szCs w:val="17"/>
          <w:i w:val="1"/>
          <w:iCs w:val="1"/>
          <w:color w:val="auto"/>
        </w:rPr>
        <w:t>“Credit Agreement</w:t>
      </w:r>
      <w:r>
        <w:rPr>
          <w:rFonts w:ascii="Times New Roman" w:cs="Times New Roman" w:eastAsia="Times New Roman" w:hAnsi="Times New Roman"/>
          <w:sz w:val="17"/>
          <w:szCs w:val="17"/>
          <w:color w:val="auto"/>
        </w:rPr>
        <w:t xml:space="preserve">”) into a limited waiver and amendment to the Credit Agreement, dated as of May 29, 2026 and the performance of the obligations thereunder, (c) the formation of New HC2 HoldCo as a Wholly Owned Domestic Subsidiary of Innovate 2 Corp., a Delaware corporation, (d) the contribution by Innovate 2 Corp. of its Equity Interests in HC2B Broadcasting Holdings Inc. and its subsidiaries to New HC2 HoldCo, (e) the entry by HC2B into the CONX Loan Agreement and the other Loan Documents (as defined therein), the occurrence of the funding thereunder and the performance of the obligations thereunder, (f) the prepayment of $121,760,978 of Indebtedness under the Existing Spectrum Promissory Notes with the loan proceeds advanced under the CONX Loan Agreement, (g) the pledge by New HC2 HoldCo to secure the Indebtedness incurred pursuant to the CONX Loan Agreement, (h) the entry by the Company into that certain Purchase Option Agreement, dated as of May 29, 2026 (the “Purchase Option Agreement”), by and between HC2 Merger Sub, LLC, a Delaware limited liability company, the performance of the obligations thereunder and the exercise by the Company of the purchase rights granted thereunder, (i) the entry by CONX Corp., a Nevada Corporation, HC2 Merger Sub, LLC, a Delaware limited liability company, HC2 Broadcasting Holdco, LLC, a Delaware limited liability company, and HC2 Broadcasting Holdings Inc. into the HC2B Merger Agreement, (j) the HC2B Sale, (k) the disposition by the Borrower to HC2B of (1) domain names and (2) other assets immaterial to the Borrower, in each case used primarily in the business of HC2B, (l) the subordination of that certain intercompany note, dated as of April 30, 2019, by HC2 Broadcasting Holdings Inc. in favor of Innovate 2 Corp. to the CONX Loan Agreement, (m) the entry by the Company into the EchoStar Side Letter, the performance of the obligations thereunder and the exercise by EchoStar of the purchase rights granted thereunder and (n) the payment of all fees and expenses related thereto;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this defined term, HC2B Transactions, shall not include any amendments, supplements, modifications, waivers or replacements to the documentation, agreements, supplements, waivers or consents referenced herein unless any such amendment, supplement, modification, waiver or replacement is effectuated in compliance with Section 3.03 hereof.</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(ii) replacing the definition of “Excluded Subsidiary” in its entirety with the following definition:</w:t>
      </w:r>
    </w:p>
    <w:p>
      <w:pPr>
        <w:spacing w:after="0" w:line="18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Excluded Subsidiary</w:t>
      </w:r>
      <w:r>
        <w:rPr>
          <w:rFonts w:ascii="Times New Roman" w:cs="Times New Roman" w:eastAsia="Times New Roman" w:hAnsi="Times New Roman"/>
          <w:sz w:val="17"/>
          <w:szCs w:val="17"/>
          <w:color w:val="auto"/>
        </w:rPr>
        <w:t>” means (1) any Subsidiary that is not a Wholly Owned Subsidiary of the Company or a Subsidiary Guarantor, (2) any Foreign Subsidiary, (3) any Immaterial Subsidiary, (4) any Insurance Subsidiary, (5) any Subsidiary, including any regulated entity that is subject to net worth or net capital or similar capital and surplus restrictions, that is prohibited or restricted by applicable law or by contractual obligation (including in respect of assumed Debt permitted hereunder) existing on the Issue Date (or, with respect to any Subsidiary acquired by the Company or a Subsidiary after the Issue Date (and so long as such contractual obligation was not incurred in contemplation of such acquisition), on the date such</w:t>
      </w:r>
    </w:p>
    <w:p>
      <w:pPr>
        <w:sectPr>
          <w:pgSz w:w="11900" w:h="16838" w:orient="portrait"/>
          <w:cols w:equalWidth="0" w:num="1">
            <w:col w:w="10520"/>
          </w:cols>
          <w:pgMar w:left="1060" w:top="946" w:right="319" w:bottom="1440" w:gutter="0" w:footer="0" w:header="0"/>
        </w:sectPr>
      </w:pPr>
    </w:p>
    <w:bookmarkStart w:id="193" w:name="page194"/>
    <w:bookmarkEnd w:id="193"/>
    <w:p>
      <w:pPr>
        <w:jc w:val="both"/>
        <w:spacing w:after="0" w:line="258" w:lineRule="auto"/>
        <w:rPr>
          <w:sz w:val="20"/>
          <w:szCs w:val="20"/>
          <w:color w:val="auto"/>
        </w:rPr>
      </w:pPr>
      <w:r>
        <w:rPr>
          <w:rFonts w:ascii="Times New Roman" w:cs="Times New Roman" w:eastAsia="Times New Roman" w:hAnsi="Times New Roman"/>
          <w:sz w:val="17"/>
          <w:szCs w:val="17"/>
          <w:color w:val="auto"/>
        </w:rPr>
        <w:t>Subsidiary is so acquired) from providing a Notes Guarantee, or if such Notes Guarantee would require governmental (including regulatory) or third party (other than the Company, any of the Subsidiary Guarantors or any of their Subsidiaries) consent, approval, license or authorization, (6) excluding any Subsidiary Guarantor as of the date hereof, any other Subsidiary with respect to which, in the reasonable judgment of the Company set forth in a notice delivered to the Trustee, the burden or cost (including any adverse tax consequences) of providing the Notes Guarantee will outweigh the benefits to be obtained by the Holders therefrom, (7) any Operating Subsidiary and (8) New HC2 HoldCo.</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(iii) replacing the definition of “Permitted Transactions” in its entirety with the following definition:</w:t>
      </w:r>
    </w:p>
    <w:p>
      <w:pPr>
        <w:spacing w:after="0" w:line="172"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Permitted Transactions</w:t>
      </w:r>
      <w:r>
        <w:rPr>
          <w:rFonts w:ascii="Times New Roman" w:cs="Times New Roman" w:eastAsia="Times New Roman" w:hAnsi="Times New Roman"/>
          <w:sz w:val="17"/>
          <w:szCs w:val="17"/>
          <w:color w:val="auto"/>
        </w:rPr>
        <w:t>” means (a) mortgage-backed security transactions in which an investor sells mortgage collateral, such as securities issued by the Government National Mortgage Association and the Federal Home Loan Mortgage Corporation, for delivery in the current month while simultaneously contracting to repurchase “substantially the same” (as determined by the Public Securities Association and GAAP) collateral for a later settlement, (b) transactions in which an investor lends cash to a primary dealer and the primary dealer collateralizes the borrowing of the cash with certain securities, (c) transactions in which an investor lends securities to a primary dealer and the primary dealer collateralizes the borrowing of the securities with cash collateral, (d) transactions in which an investor makes loans of securities to a broker-dealer under an agreement requiring such loans to be continuously secured by cash collateral or United States government securities, (e) transactions structured as, and submitted to the NAIC Security Valuation Office for approval as, Replication (Synthetic Asset) Transactions (RSAT) (provided that, to the extent that such approval is not granted in respect of any such transaction, such transaction shall cease to constitute a Permitted Transaction 30 days following the date of such rejection, denial or non-approval), (f) transactions in which a federal home loan mortgage bank (an “FHLMB”) makes loans to an Insurance Subsidiary, that are sufficiently secured by appropriate assets of such Insurance Subsidiary in accordance with the rules, regulations and guidelines of such FHLMB for its loan programs and (g) the HC2B Transactions.</w:t>
      </w:r>
    </w:p>
    <w:p>
      <w:pPr>
        <w:spacing w:after="0" w:line="172" w:lineRule="exact"/>
        <w:rPr>
          <w:sz w:val="20"/>
          <w:szCs w:val="20"/>
          <w:color w:val="auto"/>
        </w:rPr>
      </w:pPr>
    </w:p>
    <w:p>
      <w:pPr>
        <w:ind w:left="300" w:hanging="291"/>
        <w:spacing w:after="0"/>
        <w:tabs>
          <w:tab w:leader="none" w:pos="3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modifying the definition of “Permitted Liens” by (a) deleting the “and” at the end of clause (20) thereof, (b) inserting an “and” at the end of clause</w:t>
      </w:r>
    </w:p>
    <w:p>
      <w:pPr>
        <w:spacing w:after="0" w:line="23"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(21) thereof and (c) inserting a new clause (22) at the of the definition of “Permitted Liens” as follows:</w:t>
      </w:r>
    </w:p>
    <w:p>
      <w:pPr>
        <w:spacing w:after="0" w:line="169" w:lineRule="exact"/>
        <w:rPr>
          <w:sz w:val="20"/>
          <w:szCs w:val="20"/>
          <w:color w:val="auto"/>
        </w:rPr>
      </w:pPr>
    </w:p>
    <w:p>
      <w:pPr>
        <w:ind w:left="260"/>
        <w:spacing w:after="0" w:line="276" w:lineRule="auto"/>
        <w:rPr>
          <w:sz w:val="20"/>
          <w:szCs w:val="20"/>
          <w:color w:val="auto"/>
        </w:rPr>
      </w:pPr>
      <w:r>
        <w:rPr>
          <w:rFonts w:ascii="Times New Roman" w:cs="Times New Roman" w:eastAsia="Times New Roman" w:hAnsi="Times New Roman"/>
          <w:sz w:val="17"/>
          <w:szCs w:val="17"/>
          <w:color w:val="auto"/>
        </w:rPr>
        <w:t>“(22) Liens on property or the Equity Interests of New HC2 HoldCo and HC2B securing the Obligations in respect of the CONX Loan Agreement and any Permitted Refinancing Debt thereof.”</w:t>
      </w:r>
    </w:p>
    <w:p>
      <w:pPr>
        <w:spacing w:after="0" w:line="123" w:lineRule="exact"/>
        <w:rPr>
          <w:sz w:val="20"/>
          <w:szCs w:val="20"/>
          <w:color w:val="auto"/>
        </w:rPr>
      </w:pPr>
    </w:p>
    <w:p>
      <w:pPr>
        <w:ind w:firstLine="9"/>
        <w:spacing w:after="0" w:line="276" w:lineRule="auto"/>
        <w:tabs>
          <w:tab w:leader="none" w:pos="299"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modifying the definition of “Permitted Investments” by (a) deleting the “and” at the end of clause (20) thereof, (b) inserting an “and” at the end of clause (21) thereof and (c) inserting a new clause (22) at the of the definition of “Permitted Investments” as follows:</w:t>
      </w:r>
    </w:p>
    <w:p>
      <w:pPr>
        <w:sectPr>
          <w:pgSz w:w="11900" w:h="16838" w:orient="portrait"/>
          <w:cols w:equalWidth="0" w:num="1">
            <w:col w:w="10520"/>
          </w:cols>
          <w:pgMar w:left="1060" w:top="946" w:right="319" w:bottom="1440" w:gutter="0" w:footer="0" w:header="0"/>
        </w:sectPr>
      </w:pPr>
    </w:p>
    <w:bookmarkStart w:id="194" w:name="page195"/>
    <w:bookmarkEnd w:id="194"/>
    <w:p>
      <w:pPr>
        <w:ind w:left="1020"/>
        <w:spacing w:after="0"/>
        <w:rPr>
          <w:sz w:val="20"/>
          <w:szCs w:val="20"/>
          <w:color w:val="auto"/>
        </w:rPr>
      </w:pPr>
      <w:r>
        <w:rPr>
          <w:rFonts w:ascii="Times New Roman" w:cs="Times New Roman" w:eastAsia="Times New Roman" w:hAnsi="Times New Roman"/>
          <w:sz w:val="17"/>
          <w:szCs w:val="17"/>
          <w:color w:val="auto"/>
        </w:rPr>
        <w:t>“(22) to the extent constituting an Investment, the HC2B Transactions.</w:t>
      </w:r>
    </w:p>
    <w:p>
      <w:pPr>
        <w:spacing w:after="0" w:line="24" w:lineRule="exact"/>
        <w:rPr>
          <w:sz w:val="20"/>
          <w:szCs w:val="20"/>
          <w:color w:val="auto"/>
        </w:rPr>
      </w:pPr>
    </w:p>
    <w:p>
      <w:pPr>
        <w:jc w:val="both"/>
        <w:ind w:left="1020"/>
        <w:spacing w:after="0" w:line="251" w:lineRule="auto"/>
        <w:rPr>
          <w:sz w:val="20"/>
          <w:szCs w:val="20"/>
          <w:color w:val="auto"/>
        </w:rPr>
      </w:pPr>
      <w:r>
        <w:rPr>
          <w:rFonts w:ascii="Times New Roman" w:cs="Times New Roman" w:eastAsia="Times New Roman" w:hAnsi="Times New Roman"/>
          <w:sz w:val="17"/>
          <w:szCs w:val="17"/>
          <w:color w:val="auto"/>
        </w:rPr>
        <w:t>Notwithstanding the foregoing, for so long as any of the Notes remain outstanding, the Company will not exercise the purchase rights granted to it under the Purchase Option Agreement without the consent of the Holders of at least a majority in aggregate principal amount of the Notes then outstanding voting as a single class.”</w:t>
      </w:r>
    </w:p>
    <w:p>
      <w:pPr>
        <w:spacing w:after="0" w:line="154" w:lineRule="exact"/>
        <w:rPr>
          <w:sz w:val="20"/>
          <w:szCs w:val="20"/>
          <w:color w:val="auto"/>
        </w:rPr>
      </w:pPr>
    </w:p>
    <w:p>
      <w:pPr>
        <w:ind w:left="1000" w:hanging="231"/>
        <w:spacing w:after="0"/>
        <w:tabs>
          <w:tab w:leader="none" w:pos="1000"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modifying the definition of “Asset Sale” by inserting a new sentence at the end of such definition as follows:</w:t>
      </w:r>
    </w:p>
    <w:p>
      <w:pPr>
        <w:spacing w:after="0" w:line="175" w:lineRule="exact"/>
        <w:rPr>
          <w:rFonts w:ascii="Times New Roman" w:cs="Times New Roman" w:eastAsia="Times New Roman" w:hAnsi="Times New Roman"/>
          <w:sz w:val="17"/>
          <w:szCs w:val="17"/>
          <w:color w:val="auto"/>
        </w:rPr>
      </w:pPr>
    </w:p>
    <w:p>
      <w:pPr>
        <w:ind w:left="10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avoidance of doubt, any transfer of Equity Interests held by New HC2 HoldCo shall constitute a disposition hereunder.”</w:t>
      </w:r>
    </w:p>
    <w:p>
      <w:pPr>
        <w:spacing w:after="0" w:line="366" w:lineRule="exact"/>
        <w:rPr>
          <w:rFonts w:ascii="Times New Roman" w:cs="Times New Roman" w:eastAsia="Times New Roman" w:hAnsi="Times New Roman"/>
          <w:sz w:val="17"/>
          <w:szCs w:val="17"/>
          <w:color w:val="auto"/>
        </w:rPr>
      </w:pPr>
    </w:p>
    <w:p>
      <w:pPr>
        <w:ind w:left="860" w:hanging="346"/>
        <w:spacing w:after="0"/>
        <w:tabs>
          <w:tab w:leader="none" w:pos="86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4.19(b) of the Indenture shall be amended by (i) deleting the “and” at the end of clause (21) thereof, (ii) inserting an “and” at the end of clause</w:t>
      </w:r>
    </w:p>
    <w:p>
      <w:pPr>
        <w:spacing w:after="0" w:line="23" w:lineRule="exact"/>
        <w:rPr>
          <w:rFonts w:ascii="Times New Roman" w:cs="Times New Roman" w:eastAsia="Times New Roman" w:hAnsi="Times New Roman"/>
          <w:sz w:val="17"/>
          <w:szCs w:val="17"/>
          <w:color w:val="auto"/>
        </w:rPr>
      </w:pPr>
    </w:p>
    <w:p>
      <w:pPr>
        <w:ind w:left="7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(22) thereof and (iii) inserting a new clause (23) at the end of Section 4.19(b) as follows:</w:t>
      </w:r>
    </w:p>
    <w:p>
      <w:pPr>
        <w:spacing w:after="0" w:line="34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“(23) Debt Incurred pursuant to the CONX Loan Agreement and Permitted Refinancing Debt thereof.”</w:t>
      </w:r>
    </w:p>
    <w:p>
      <w:pPr>
        <w:spacing w:after="0" w:line="367"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7"/>
          <w:szCs w:val="17"/>
          <w:color w:val="auto"/>
        </w:rPr>
        <w:t>ARTICLE 3.</w:t>
      </w:r>
    </w:p>
    <w:p>
      <w:pPr>
        <w:spacing w:after="0" w:line="24"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7"/>
          <w:szCs w:val="17"/>
          <w:color w:val="auto"/>
        </w:rPr>
        <w:t>CONSENT AND WAIVER</w:t>
      </w:r>
    </w:p>
    <w:p>
      <w:pPr>
        <w:spacing w:after="0" w:line="165" w:lineRule="exact"/>
        <w:rPr>
          <w:sz w:val="20"/>
          <w:szCs w:val="20"/>
          <w:color w:val="auto"/>
        </w:rPr>
      </w:pPr>
    </w:p>
    <w:p>
      <w:pPr>
        <w:ind w:left="200"/>
        <w:spacing w:after="0"/>
        <w:tabs>
          <w:tab w:leader="none" w:pos="1200" w:val="left"/>
        </w:tabs>
        <w:rPr>
          <w:sz w:val="20"/>
          <w:szCs w:val="20"/>
          <w:color w:val="auto"/>
        </w:rPr>
      </w:pPr>
      <w:r>
        <w:rPr>
          <w:rFonts w:ascii="Times New Roman" w:cs="Times New Roman" w:eastAsia="Times New Roman" w:hAnsi="Times New Roman"/>
          <w:sz w:val="17"/>
          <w:szCs w:val="17"/>
          <w:color w:val="auto"/>
        </w:rPr>
        <w:t>Section 3.01</w:t>
      </w:r>
      <w:r>
        <w:rPr>
          <w:sz w:val="20"/>
          <w:szCs w:val="20"/>
          <w:color w:val="auto"/>
        </w:rPr>
        <w:tab/>
      </w:r>
      <w:r>
        <w:rPr>
          <w:rFonts w:ascii="Times New Roman" w:cs="Times New Roman" w:eastAsia="Times New Roman" w:hAnsi="Times New Roman"/>
          <w:sz w:val="16"/>
          <w:szCs w:val="16"/>
          <w:i w:val="1"/>
          <w:iCs w:val="1"/>
          <w:color w:val="auto"/>
        </w:rPr>
        <w:t>Consent</w:t>
      </w:r>
      <w:r>
        <w:rPr>
          <w:rFonts w:ascii="Times New Roman" w:cs="Times New Roman" w:eastAsia="Times New Roman" w:hAnsi="Times New Roman"/>
          <w:sz w:val="16"/>
          <w:szCs w:val="16"/>
          <w:color w:val="auto"/>
        </w:rPr>
        <w:t>. Any and all of the HC2B Transactions are hereby irrevocably consented to in all respects.</w:t>
      </w:r>
    </w:p>
    <w:p>
      <w:pPr>
        <w:spacing w:after="0" w:line="176" w:lineRule="exact"/>
        <w:rPr>
          <w:sz w:val="20"/>
          <w:szCs w:val="20"/>
          <w:color w:val="auto"/>
        </w:rPr>
      </w:pPr>
    </w:p>
    <w:p>
      <w:pPr>
        <w:jc w:val="both"/>
        <w:ind w:firstLine="191"/>
        <w:spacing w:after="0" w:line="281" w:lineRule="auto"/>
        <w:rPr>
          <w:sz w:val="20"/>
          <w:szCs w:val="20"/>
          <w:color w:val="auto"/>
        </w:rPr>
      </w:pPr>
      <w:r>
        <w:rPr>
          <w:rFonts w:ascii="Times New Roman" w:cs="Times New Roman" w:eastAsia="Times New Roman" w:hAnsi="Times New Roman"/>
          <w:sz w:val="17"/>
          <w:szCs w:val="17"/>
          <w:color w:val="auto"/>
        </w:rPr>
        <w:t xml:space="preserve">Section 3.02 </w:t>
      </w:r>
      <w:r>
        <w:rPr>
          <w:rFonts w:ascii="Times New Roman" w:cs="Times New Roman" w:eastAsia="Times New Roman" w:hAnsi="Times New Roman"/>
          <w:sz w:val="17"/>
          <w:szCs w:val="17"/>
          <w:i w:val="1"/>
          <w:iCs w:val="1"/>
          <w:color w:val="auto"/>
        </w:rPr>
        <w:t>Waiver of Defaults</w:t>
      </w:r>
      <w:r>
        <w:rPr>
          <w:rFonts w:ascii="Times New Roman" w:cs="Times New Roman" w:eastAsia="Times New Roman" w:hAnsi="Times New Roman"/>
          <w:sz w:val="17"/>
          <w:szCs w:val="17"/>
          <w:color w:val="auto"/>
        </w:rPr>
        <w:t>. Any and all Defaults, Events of Default or other defaults that may have occurred, or that may arise under the Indenture, directly or indirectly, as a result of the HC2B Transactions are hereby irrevocably waived in all respects.</w:t>
      </w:r>
    </w:p>
    <w:p>
      <w:pPr>
        <w:spacing w:after="0" w:line="115" w:lineRule="exact"/>
        <w:rPr>
          <w:sz w:val="20"/>
          <w:szCs w:val="20"/>
          <w:color w:val="auto"/>
        </w:rPr>
      </w:pPr>
    </w:p>
    <w:p>
      <w:pPr>
        <w:jc w:val="both"/>
        <w:ind w:firstLine="191"/>
        <w:spacing w:after="0" w:line="263" w:lineRule="auto"/>
        <w:rPr>
          <w:sz w:val="20"/>
          <w:szCs w:val="20"/>
          <w:color w:val="auto"/>
        </w:rPr>
      </w:pPr>
      <w:r>
        <w:rPr>
          <w:rFonts w:ascii="Times New Roman" w:cs="Times New Roman" w:eastAsia="Times New Roman" w:hAnsi="Times New Roman"/>
          <w:sz w:val="17"/>
          <w:szCs w:val="17"/>
          <w:color w:val="auto"/>
        </w:rPr>
        <w:t xml:space="preserve">Section 3.03 </w:t>
      </w:r>
      <w:r>
        <w:rPr>
          <w:rFonts w:ascii="Times New Roman" w:cs="Times New Roman" w:eastAsia="Times New Roman" w:hAnsi="Times New Roman"/>
          <w:sz w:val="17"/>
          <w:szCs w:val="17"/>
          <w:i w:val="1"/>
          <w:iCs w:val="1"/>
          <w:color w:val="auto"/>
        </w:rPr>
        <w:t>Amendments.</w:t>
      </w:r>
      <w:r>
        <w:rPr>
          <w:rFonts w:ascii="Times New Roman" w:cs="Times New Roman" w:eastAsia="Times New Roman" w:hAnsi="Times New Roman"/>
          <w:sz w:val="17"/>
          <w:szCs w:val="17"/>
          <w:color w:val="auto"/>
        </w:rPr>
        <w:t xml:space="preserve"> Without the consent of the Holders of at least a majority in aggregate principal amount of the Notes then outstanding voting as a single class, the Company and its Subsidiaries shall not enter into any amendment, supplement, modification, waiver or replacement to the documentation, agreements, supplements, waivers or consents referenced in the definition of “HC2B Transactions” that adversely affects the rights of the Holders of the Notes, and the failure by the Company and its Subsidiaries to comply with this Section 3.03 shall constitute an immediate Event of Default.</w:t>
      </w:r>
    </w:p>
    <w:p>
      <w:pPr>
        <w:spacing w:after="0" w:line="134"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7"/>
          <w:szCs w:val="17"/>
          <w:color w:val="auto"/>
        </w:rPr>
        <w:t>ARTICLE 4.</w:t>
      </w:r>
    </w:p>
    <w:p>
      <w:pPr>
        <w:spacing w:after="0" w:line="24"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7"/>
          <w:szCs w:val="17"/>
          <w:color w:val="auto"/>
        </w:rPr>
        <w:t>MISCELLANEOUS</w:t>
      </w:r>
    </w:p>
    <w:p>
      <w:pPr>
        <w:spacing w:after="0" w:line="165" w:lineRule="exact"/>
        <w:rPr>
          <w:sz w:val="20"/>
          <w:szCs w:val="20"/>
          <w:color w:val="auto"/>
        </w:rPr>
      </w:pPr>
    </w:p>
    <w:p>
      <w:pPr>
        <w:jc w:val="both"/>
        <w:ind w:firstLine="191"/>
        <w:spacing w:after="0" w:line="264" w:lineRule="auto"/>
        <w:rPr>
          <w:sz w:val="20"/>
          <w:szCs w:val="20"/>
          <w:color w:val="auto"/>
        </w:rPr>
      </w:pPr>
      <w:r>
        <w:rPr>
          <w:rFonts w:ascii="Times New Roman" w:cs="Times New Roman" w:eastAsia="Times New Roman" w:hAnsi="Times New Roman"/>
          <w:sz w:val="17"/>
          <w:szCs w:val="17"/>
          <w:color w:val="auto"/>
        </w:rPr>
        <w:t xml:space="preserve">Section 4.01 </w:t>
      </w:r>
      <w:r>
        <w:rPr>
          <w:rFonts w:ascii="Times New Roman" w:cs="Times New Roman" w:eastAsia="Times New Roman" w:hAnsi="Times New Roman"/>
          <w:sz w:val="17"/>
          <w:szCs w:val="17"/>
          <w:i w:val="1"/>
          <w:iCs w:val="1"/>
          <w:color w:val="auto"/>
        </w:rPr>
        <w:t>HC2 Sale.</w:t>
      </w:r>
      <w:r>
        <w:rPr>
          <w:rFonts w:ascii="Times New Roman" w:cs="Times New Roman" w:eastAsia="Times New Roman" w:hAnsi="Times New Roman"/>
          <w:sz w:val="17"/>
          <w:szCs w:val="17"/>
          <w:color w:val="auto"/>
        </w:rPr>
        <w:t xml:space="preserve"> The Company shall use commercially reasonable efforts to consummate the HC2 Sale as contemplated by that certain Agreement and Plan of Merger, by and among, CONX Corp., a Nevada corporation, HC2 Merger Sub, LLC, a Delaware limited liability company, HC2 Broadcasting Holdco, LLC, a Delaware limited liability company, and</w:t>
      </w:r>
    </w:p>
    <w:p>
      <w:pPr>
        <w:sectPr>
          <w:pgSz w:w="11900" w:h="16838" w:orient="portrait"/>
          <w:cols w:equalWidth="0" w:num="1">
            <w:col w:w="11280"/>
          </w:cols>
          <w:pgMar w:left="300" w:top="1116" w:right="31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7"/>
          <w:szCs w:val="17"/>
          <w:color w:val="auto"/>
        </w:rPr>
        <w:t>HC2 Broadcasting Holdings Inc., a Delaware corporation, as amended, restated, supplemented or otherwise modified or replaced from time to time.</w:t>
      </w:r>
    </w:p>
    <w:p>
      <w:pPr>
        <w:spacing w:after="0" w:line="172" w:lineRule="exact"/>
        <w:rPr>
          <w:sz w:val="20"/>
          <w:szCs w:val="20"/>
          <w:color w:val="auto"/>
        </w:rPr>
      </w:pPr>
    </w:p>
    <w:p>
      <w:pPr>
        <w:jc w:val="both"/>
        <w:ind w:firstLine="191"/>
        <w:spacing w:after="0" w:line="264" w:lineRule="auto"/>
        <w:rPr>
          <w:sz w:val="20"/>
          <w:szCs w:val="20"/>
          <w:color w:val="auto"/>
        </w:rPr>
      </w:pPr>
      <w:r>
        <w:rPr>
          <w:rFonts w:ascii="Times New Roman" w:cs="Times New Roman" w:eastAsia="Times New Roman" w:hAnsi="Times New Roman"/>
          <w:sz w:val="17"/>
          <w:szCs w:val="17"/>
          <w:color w:val="auto"/>
        </w:rPr>
        <w:t xml:space="preserve">Section 4.02 </w:t>
      </w:r>
      <w:r>
        <w:rPr>
          <w:rFonts w:ascii="Times New Roman" w:cs="Times New Roman" w:eastAsia="Times New Roman" w:hAnsi="Times New Roman"/>
          <w:sz w:val="17"/>
          <w:szCs w:val="17"/>
          <w:i w:val="1"/>
          <w:iCs w:val="1"/>
          <w:color w:val="auto"/>
        </w:rPr>
        <w:t>Governing Law</w:t>
      </w:r>
      <w:r>
        <w:rPr>
          <w:rFonts w:ascii="Times New Roman" w:cs="Times New Roman" w:eastAsia="Times New Roman" w:hAnsi="Times New Roman"/>
          <w:sz w:val="17"/>
          <w:szCs w:val="17"/>
          <w:color w:val="auto"/>
        </w:rPr>
        <w:t>. THE INTERNAL LAW OF THE STATE OF NEW YORK WILL GOVERN AND BE USED TO CONSTRUE THIS SUPPLEMENTAL INDENTURE WITHOUT GIVING EFFECT TO APPLICABLE PRINCIPLES OF CONFLICTS OF LAW TO THE EXTENT THAT THE APPLICATION OF THE LAWS OF ANOTHER JURISDICTION WOULD BE REQUIRED THEREBY.</w:t>
      </w:r>
    </w:p>
    <w:p>
      <w:pPr>
        <w:spacing w:after="0" w:line="140" w:lineRule="exact"/>
        <w:rPr>
          <w:sz w:val="20"/>
          <w:szCs w:val="20"/>
          <w:color w:val="auto"/>
        </w:rPr>
      </w:pPr>
    </w:p>
    <w:p>
      <w:pPr>
        <w:jc w:val="both"/>
        <w:ind w:firstLine="191"/>
        <w:spacing w:after="0" w:line="281" w:lineRule="auto"/>
        <w:rPr>
          <w:sz w:val="20"/>
          <w:szCs w:val="20"/>
          <w:color w:val="auto"/>
        </w:rPr>
      </w:pPr>
      <w:r>
        <w:rPr>
          <w:rFonts w:ascii="Times New Roman" w:cs="Times New Roman" w:eastAsia="Times New Roman" w:hAnsi="Times New Roman"/>
          <w:sz w:val="17"/>
          <w:szCs w:val="17"/>
          <w:color w:val="auto"/>
        </w:rPr>
        <w:t xml:space="preserve">Section 4.03 </w:t>
      </w:r>
      <w:r>
        <w:rPr>
          <w:rFonts w:ascii="Times New Roman" w:cs="Times New Roman" w:eastAsia="Times New Roman" w:hAnsi="Times New Roman"/>
          <w:sz w:val="17"/>
          <w:szCs w:val="17"/>
          <w:i w:val="1"/>
          <w:iCs w:val="1"/>
          <w:color w:val="auto"/>
        </w:rPr>
        <w:t>Severability</w:t>
      </w:r>
      <w:r>
        <w:rPr>
          <w:rFonts w:ascii="Times New Roman" w:cs="Times New Roman" w:eastAsia="Times New Roman" w:hAnsi="Times New Roman"/>
          <w:sz w:val="17"/>
          <w:szCs w:val="17"/>
          <w:color w:val="auto"/>
        </w:rPr>
        <w:t>. In case any provision in this Supplemental Indenture is invalid, illegal or unenforceable, the validity, legality and enforceability of the remaining provisions will not in any way be affected or impaired thereby.</w:t>
      </w:r>
    </w:p>
    <w:p>
      <w:pPr>
        <w:spacing w:after="0" w:line="115" w:lineRule="exact"/>
        <w:rPr>
          <w:sz w:val="20"/>
          <w:szCs w:val="20"/>
          <w:color w:val="auto"/>
        </w:rPr>
      </w:pPr>
    </w:p>
    <w:p>
      <w:pPr>
        <w:jc w:val="both"/>
        <w:ind w:firstLine="191"/>
        <w:spacing w:after="0" w:line="258" w:lineRule="auto"/>
        <w:rPr>
          <w:sz w:val="20"/>
          <w:szCs w:val="20"/>
          <w:color w:val="auto"/>
        </w:rPr>
      </w:pPr>
      <w:r>
        <w:rPr>
          <w:rFonts w:ascii="Times New Roman" w:cs="Times New Roman" w:eastAsia="Times New Roman" w:hAnsi="Times New Roman"/>
          <w:sz w:val="17"/>
          <w:szCs w:val="17"/>
          <w:color w:val="auto"/>
        </w:rPr>
        <w:t xml:space="preserve">Section 4.04 </w:t>
      </w:r>
      <w:r>
        <w:rPr>
          <w:rFonts w:ascii="Times New Roman" w:cs="Times New Roman" w:eastAsia="Times New Roman" w:hAnsi="Times New Roman"/>
          <w:sz w:val="17"/>
          <w:szCs w:val="17"/>
          <w:i w:val="1"/>
          <w:iCs w:val="1"/>
          <w:color w:val="auto"/>
        </w:rPr>
        <w:t>Counterpart Originals</w:t>
      </w:r>
      <w:r>
        <w:rPr>
          <w:rFonts w:ascii="Times New Roman" w:cs="Times New Roman" w:eastAsia="Times New Roman" w:hAnsi="Times New Roman"/>
          <w:sz w:val="17"/>
          <w:szCs w:val="17"/>
          <w:color w:val="auto"/>
        </w:rPr>
        <w:t>. The parties may sign any number of copies of this Supplemental Indenture. Each signed copy will be an original, but all of them together represent the same agreement. The exchange of copies of this Supplemental Indenture and of signature pages by facsimile or PDF transmission shall constitute effective execution and delivery of this Supplemental Indenture as to the parties hereto and may be used in lieu of the original Supplemental Indenture and signature pages for all purposes.</w:t>
      </w:r>
    </w:p>
    <w:p>
      <w:pPr>
        <w:spacing w:after="0" w:line="146" w:lineRule="exact"/>
        <w:rPr>
          <w:sz w:val="20"/>
          <w:szCs w:val="20"/>
          <w:color w:val="auto"/>
        </w:rPr>
      </w:pPr>
    </w:p>
    <w:p>
      <w:pPr>
        <w:ind w:left="200"/>
        <w:spacing w:after="0"/>
        <w:tabs>
          <w:tab w:leader="none" w:pos="1200" w:val="left"/>
        </w:tabs>
        <w:rPr>
          <w:sz w:val="20"/>
          <w:szCs w:val="20"/>
          <w:color w:val="auto"/>
        </w:rPr>
      </w:pPr>
      <w:r>
        <w:rPr>
          <w:rFonts w:ascii="Times New Roman" w:cs="Times New Roman" w:eastAsia="Times New Roman" w:hAnsi="Times New Roman"/>
          <w:sz w:val="17"/>
          <w:szCs w:val="17"/>
          <w:color w:val="auto"/>
        </w:rPr>
        <w:t>Section 4.05</w:t>
      </w:r>
      <w:r>
        <w:rPr>
          <w:sz w:val="20"/>
          <w:szCs w:val="20"/>
          <w:color w:val="auto"/>
        </w:rPr>
        <w:tab/>
      </w:r>
      <w:r>
        <w:rPr>
          <w:rFonts w:ascii="Times New Roman" w:cs="Times New Roman" w:eastAsia="Times New Roman" w:hAnsi="Times New Roman"/>
          <w:sz w:val="16"/>
          <w:szCs w:val="16"/>
          <w:i w:val="1"/>
          <w:iCs w:val="1"/>
          <w:color w:val="auto"/>
        </w:rPr>
        <w:t>Effect of Headings</w:t>
      </w:r>
      <w:r>
        <w:rPr>
          <w:rFonts w:ascii="Times New Roman" w:cs="Times New Roman" w:eastAsia="Times New Roman" w:hAnsi="Times New Roman"/>
          <w:sz w:val="16"/>
          <w:szCs w:val="16"/>
          <w:color w:val="auto"/>
        </w:rPr>
        <w:t>. The Section headings herein are for convenience only and shall not affect the construction hereof.</w:t>
      </w:r>
    </w:p>
    <w:p>
      <w:pPr>
        <w:spacing w:after="0" w:line="176" w:lineRule="exact"/>
        <w:rPr>
          <w:sz w:val="20"/>
          <w:szCs w:val="20"/>
          <w:color w:val="auto"/>
        </w:rPr>
      </w:pPr>
    </w:p>
    <w:p>
      <w:pPr>
        <w:jc w:val="both"/>
        <w:ind w:firstLine="191"/>
        <w:spacing w:after="0" w:line="258" w:lineRule="auto"/>
        <w:rPr>
          <w:sz w:val="20"/>
          <w:szCs w:val="20"/>
          <w:color w:val="auto"/>
        </w:rPr>
      </w:pPr>
      <w:r>
        <w:rPr>
          <w:rFonts w:ascii="Times New Roman" w:cs="Times New Roman" w:eastAsia="Times New Roman" w:hAnsi="Times New Roman"/>
          <w:sz w:val="17"/>
          <w:szCs w:val="17"/>
          <w:color w:val="auto"/>
        </w:rPr>
        <w:t xml:space="preserve">Section 4.06 </w:t>
      </w:r>
      <w:r>
        <w:rPr>
          <w:rFonts w:ascii="Times New Roman" w:cs="Times New Roman" w:eastAsia="Times New Roman" w:hAnsi="Times New Roman"/>
          <w:sz w:val="17"/>
          <w:szCs w:val="17"/>
          <w:i w:val="1"/>
          <w:iCs w:val="1"/>
          <w:color w:val="auto"/>
        </w:rPr>
        <w:t>The Trustee</w:t>
      </w:r>
      <w:r>
        <w:rPr>
          <w:rFonts w:ascii="Times New Roman" w:cs="Times New Roman" w:eastAsia="Times New Roman" w:hAnsi="Times New Roman"/>
          <w:sz w:val="17"/>
          <w:szCs w:val="17"/>
          <w:color w:val="auto"/>
        </w:rPr>
        <w:t>. The Trustee shall not be responsible in any manner whatsoever for or in respect of the validity or sufficiency of this Supplemental Indenture or for or in respect of the recitals contained herein, all of which recitals are made solely by the Company and not by the Trustee, and all of the provisions contained in the Indenture in respect of the rights, privileges, immunities, powers and duties of the Trustee shall be applicable in respect of this Supplemental Indenture as fully and with like effect as if set forth herein in full.</w:t>
      </w:r>
    </w:p>
    <w:p>
      <w:pPr>
        <w:spacing w:after="0" w:line="146" w:lineRule="exact"/>
        <w:rPr>
          <w:sz w:val="20"/>
          <w:szCs w:val="20"/>
          <w:color w:val="auto"/>
        </w:rPr>
      </w:pPr>
    </w:p>
    <w:p>
      <w:pPr>
        <w:ind w:left="200"/>
        <w:spacing w:after="0"/>
        <w:tabs>
          <w:tab w:leader="none" w:pos="1200" w:val="left"/>
        </w:tabs>
        <w:rPr>
          <w:sz w:val="20"/>
          <w:szCs w:val="20"/>
          <w:color w:val="auto"/>
        </w:rPr>
      </w:pPr>
      <w:r>
        <w:rPr>
          <w:rFonts w:ascii="Times New Roman" w:cs="Times New Roman" w:eastAsia="Times New Roman" w:hAnsi="Times New Roman"/>
          <w:sz w:val="17"/>
          <w:szCs w:val="17"/>
          <w:color w:val="auto"/>
        </w:rPr>
        <w:t>Section 4.07</w:t>
      </w:r>
      <w:r>
        <w:rPr>
          <w:sz w:val="20"/>
          <w:szCs w:val="20"/>
          <w:color w:val="auto"/>
        </w:rPr>
        <w:tab/>
      </w:r>
      <w:r>
        <w:rPr>
          <w:rFonts w:ascii="Times New Roman" w:cs="Times New Roman" w:eastAsia="Times New Roman" w:hAnsi="Times New Roman"/>
          <w:sz w:val="17"/>
          <w:szCs w:val="17"/>
          <w:i w:val="1"/>
          <w:iCs w:val="1"/>
          <w:color w:val="auto"/>
        </w:rPr>
        <w:t>Indemnification.</w:t>
      </w:r>
    </w:p>
    <w:p>
      <w:pPr>
        <w:spacing w:after="0" w:line="180" w:lineRule="exact"/>
        <w:rPr>
          <w:sz w:val="20"/>
          <w:szCs w:val="20"/>
          <w:color w:val="auto"/>
        </w:rPr>
      </w:pPr>
    </w:p>
    <w:p>
      <w:pPr>
        <w:jc w:val="both"/>
        <w:ind w:left="760" w:hanging="246"/>
        <w:spacing w:after="0" w:line="252" w:lineRule="auto"/>
        <w:tabs>
          <w:tab w:leader="none" w:pos="838"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agrees to indemnify and hold harmless each Requisite Holder and each of its respective Affiliates, successors and assignors and all their respective officers, directors (or equivalent managers), members, partners, trustees, employees, equity holders, advisors, agents and other representatives of each of the foregoing and their respective successors and permitted assigns (each, an “</w:t>
      </w:r>
      <w:r>
        <w:rPr>
          <w:rFonts w:ascii="Times New Roman" w:cs="Times New Roman" w:eastAsia="Times New Roman" w:hAnsi="Times New Roman"/>
          <w:sz w:val="17"/>
          <w:szCs w:val="17"/>
          <w:i w:val="1"/>
          <w:iCs w:val="1"/>
          <w:color w:val="auto"/>
        </w:rPr>
        <w:t>Indemnified Person</w:t>
      </w:r>
      <w:r>
        <w:rPr>
          <w:rFonts w:ascii="Times New Roman" w:cs="Times New Roman" w:eastAsia="Times New Roman" w:hAnsi="Times New Roman"/>
          <w:sz w:val="17"/>
          <w:szCs w:val="17"/>
          <w:color w:val="auto"/>
        </w:rPr>
        <w:t>”) from and against any and all actual losses, claims, damages, and liabilities, joint or several, to which any such Indemnified Person may become subject arising out of, in connection with, or as a result of this Supplemental Indenture or the HC2B Transactions, or any claim, litigation, investigation or proceeding, actual or threatened, relating to any of the foregoing (limited, in the case of legal fees of any Requisite Holder, to (i) one counsel for all such Commitment Parties taken as a whole (and, in the case of an actual or perceived conflict of interest, where the applicable Indemnified Person affected by such conflict informs you of such conflict and thereafter retains its own counsel, one additional counsel to such affected Indemnified Person), (ii) if necessary, a single local counsel for all such Requisite Holders taken as a whole in each relevant jurisdiction (and, in the case of an actual or perceived</w:t>
      </w:r>
    </w:p>
    <w:p>
      <w:pPr>
        <w:sectPr>
          <w:pgSz w:w="11900" w:h="16838" w:orient="portrait"/>
          <w:cols w:equalWidth="0" w:num="1">
            <w:col w:w="11280"/>
          </w:cols>
          <w:pgMar w:left="300" w:top="1116" w:right="319" w:bottom="1440" w:gutter="0" w:footer="0" w:header="0"/>
        </w:sectPr>
      </w:pPr>
    </w:p>
    <w:bookmarkStart w:id="196" w:name="page197"/>
    <w:bookmarkEnd w:id="196"/>
    <w:p>
      <w:pPr>
        <w:jc w:val="both"/>
        <w:ind w:left="246"/>
        <w:spacing w:after="0" w:line="251" w:lineRule="auto"/>
        <w:rPr>
          <w:sz w:val="20"/>
          <w:szCs w:val="20"/>
          <w:color w:val="auto"/>
        </w:rPr>
      </w:pPr>
      <w:r>
        <w:rPr>
          <w:rFonts w:ascii="Times New Roman" w:cs="Times New Roman" w:eastAsia="Times New Roman" w:hAnsi="Times New Roman"/>
          <w:sz w:val="17"/>
          <w:szCs w:val="17"/>
          <w:color w:val="auto"/>
        </w:rPr>
        <w:t xml:space="preserve">conflict of interest, where the applicable Indemnified Person affected by such conflict informs you of such conflict and thereafter retains its own counsel, one additional counsel to such affected Indemnified Person in each relevant jurisdiction), which may include special counsel acting in multiple jurisdictions, and (iii) if necessary, a single regulatory and/or specialty counsel for all such Requisite Holders taken as a whole for each relevant specialty area (and, in the case of an actual or perceived conflict of interest, where the applicable Indemnified Person affected by such conflict informs you of such conflict and thereafter retains its own counsel, one additional counsel to such affected Indemnified Person for each relevant specialty area), in each case, regardless of whether any Indemnified Person is a party thereto, whether or not the transactions contemplated hereby are consummated, and whether or not such proceeding is brought by you, your equity holders, affiliates, creditors, or any other third person);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no Indemnified Person will be entitled to indemnity hereunder in respect of any loss, claim, damage, liability or related expense to the extent that it is found by a final, non-appealable judgment of a court of competent jurisdiction that such loss, claim, damage, liability or expense that arises from (i) the bad faith, fraud, gross negligence or willful misconduct of, or material breach of this Supplemental Indenture by, as determined by a court of competent jurisdiction in a final and non-appealable decision, such Indemnified Person (or any of its Affiliates, successors and assignors and their respective officers, directors (or equivalent managers), members, partners, trustees, employees, equity holders, advisors, agents and other representatives) (it being agreed that a Requisite Holder’s compliance with, or execution, implementation or consummation of, as applicable, this Supplemental Indenture and the HC2B Transactions contemplated hereby shall not be deemed bad faith, fraud, gross negligence or willful misconduct) or (ii) any disputes solely among Indemnified Persons and not arising out of any act or omission of the Company. In no event will any Indemnified Person, any other party hereto, the Company or any of its officers, directors, partners, trustees, employees, managed funds and accounts, shareholders, advisors, agents, representatives, attorneys and controlling persons and each of their respective heirs, successors and assigns be liable on any theory of liability for indirect, special, or consequential damages, lost profits or punitive damages in connection with this Supplemental Indenture or the HC2B Transactions; </w:t>
      </w:r>
      <w:r>
        <w:rPr>
          <w:rFonts w:ascii="Times New Roman" w:cs="Times New Roman" w:eastAsia="Times New Roman" w:hAnsi="Times New Roman"/>
          <w:sz w:val="17"/>
          <w:szCs w:val="17"/>
          <w:i w:val="1"/>
          <w:iCs w:val="1"/>
          <w:u w:val="single" w:color="auto"/>
          <w:color w:val="auto"/>
        </w:rPr>
        <w:t>provided</w:t>
      </w:r>
      <w:r>
        <w:rPr>
          <w:rFonts w:ascii="Times New Roman" w:cs="Times New Roman" w:eastAsia="Times New Roman" w:hAnsi="Times New Roman"/>
          <w:sz w:val="17"/>
          <w:szCs w:val="17"/>
          <w:color w:val="auto"/>
        </w:rPr>
        <w:t xml:space="preserve"> that the foregoing shall not limit the Company’s indemnification obligations to the Indemnified Persons in respect of damages incurred or paid by an Indemnified Person to a third party.</w:t>
      </w:r>
    </w:p>
    <w:p>
      <w:pPr>
        <w:spacing w:after="0" w:line="147" w:lineRule="exact"/>
        <w:rPr>
          <w:sz w:val="20"/>
          <w:szCs w:val="20"/>
          <w:color w:val="auto"/>
        </w:rPr>
      </w:pPr>
    </w:p>
    <w:p>
      <w:pPr>
        <w:jc w:val="both"/>
        <w:ind w:left="246" w:hanging="246"/>
        <w:spacing w:after="0" w:line="255" w:lineRule="auto"/>
        <w:tabs>
          <w:tab w:leader="none" w:pos="362"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not be liable for any settlement of any proceeding (or expenses relating thereto) effected without the Company’s consent (which consent shall not be unreasonably withheld, conditioned or delayed), but if settled with the Company’s written consent, or if there is a final judgment against an Indemnified Person in any such proceeding, the Company agrees to indemnify and hold harmless such Indemnified Person to the extent and in the manner set forth above. The Company shall not, without the prior written consent of the affected Indemnified Person, effect any settlement of any pending or threatened proceeding against such Indemnified Person in respect of which indemnity could have been sought hereunder by such Indemnified Person, unless such settlement (a) includes an unconditional release of such Indemnified Person from all liability and claims that are the subject matter of</w:t>
      </w:r>
    </w:p>
    <w:p>
      <w:pPr>
        <w:sectPr>
          <w:pgSz w:w="11900" w:h="16838" w:orient="portrait"/>
          <w:cols w:equalWidth="0" w:num="1">
            <w:col w:w="10766"/>
          </w:cols>
          <w:pgMar w:left="814" w:top="1116" w:right="319" w:bottom="1440" w:gutter="0" w:footer="0" w:header="0"/>
        </w:sectPr>
      </w:pPr>
    </w:p>
    <w:bookmarkStart w:id="197" w:name="page198"/>
    <w:bookmarkEnd w:id="197"/>
    <w:p>
      <w:pPr>
        <w:jc w:val="both"/>
        <w:ind w:left="760"/>
        <w:spacing w:after="0" w:line="255" w:lineRule="auto"/>
        <w:rPr>
          <w:sz w:val="20"/>
          <w:szCs w:val="20"/>
          <w:color w:val="auto"/>
        </w:rPr>
      </w:pPr>
      <w:r>
        <w:rPr>
          <w:rFonts w:ascii="Times New Roman" w:cs="Times New Roman" w:eastAsia="Times New Roman" w:hAnsi="Times New Roman"/>
          <w:sz w:val="17"/>
          <w:szCs w:val="17"/>
          <w:color w:val="auto"/>
        </w:rPr>
        <w:t xml:space="preserve">such proceeding, (b) does not include any statement as to any admission of fault or culpability, and (c) includes customary confidentiality and non-disparagement agreements;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for the avoidance of doubt, no settlement pursuant to this sentence shall be binding on any Indemnified Person without such Indemnified Person’s consent. Each Indemnified Person shall be obligated to refund or return any and all amounts paid by the Company under this paragraph to such Indemnified Person for any losses, claims, damages, liabilities and expenses to the extent such Indemnified Person is not entitled to payment of such amounts in accordance with the terms hereof, as determined by a final non-appealable order of a court of competent jurisdiction.</w:t>
      </w:r>
    </w:p>
    <w:p>
      <w:pPr>
        <w:spacing w:after="0" w:line="144" w:lineRule="exact"/>
        <w:rPr>
          <w:sz w:val="20"/>
          <w:szCs w:val="20"/>
          <w:color w:val="auto"/>
        </w:rPr>
      </w:pPr>
    </w:p>
    <w:p>
      <w:pPr>
        <w:jc w:val="both"/>
        <w:ind w:left="760" w:hanging="246"/>
        <w:spacing w:after="0" w:line="257" w:lineRule="auto"/>
        <w:tabs>
          <w:tab w:leader="none" w:pos="841"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any proceeding is instituted involving any Indemnified Person for which indemnity is to be sought hereunder by such Indemnified Person, then such Indemnified Person will, to the extent permitted in connection with such proceeding, promptly notify the Company of the commencement of any such proceeding;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the failure to notify the Company will not relieve the Company from any liability that the Company may have to such Indemnified Person hereunder.</w:t>
      </w:r>
    </w:p>
    <w:p>
      <w:pPr>
        <w:spacing w:after="0" w:line="149" w:lineRule="exact"/>
        <w:rPr>
          <w:rFonts w:ascii="Times New Roman" w:cs="Times New Roman" w:eastAsia="Times New Roman" w:hAnsi="Times New Roman"/>
          <w:sz w:val="17"/>
          <w:szCs w:val="17"/>
          <w:color w:val="auto"/>
        </w:rPr>
      </w:pPr>
    </w:p>
    <w:p>
      <w:pPr>
        <w:jc w:val="both"/>
        <w:ind w:left="760" w:hanging="246"/>
        <w:spacing w:after="0" w:line="257" w:lineRule="auto"/>
        <w:tabs>
          <w:tab w:leader="none" w:pos="951"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indemnity and expense reimbursement obligations set forth herein (i) shall remain operative and in full force and effect regardless of any investigation made by or on behalf of the Requisite Holders or any other Indemnified Person and (ii) shall be binding on any successor or assign of the Company and the successors or assigns. For the avoidance of doubt, the indemnity provided in this Section 4.07 shall not apply to any taxes other than any taxes that represent losses, claims or damages arising from any non-tax claim.</w:t>
      </w:r>
    </w:p>
    <w:p>
      <w:pPr>
        <w:spacing w:after="0" w:line="138" w:lineRule="exact"/>
        <w:rPr>
          <w:rFonts w:ascii="Times New Roman" w:cs="Times New Roman" w:eastAsia="Times New Roman" w:hAnsi="Times New Roman"/>
          <w:sz w:val="17"/>
          <w:szCs w:val="17"/>
          <w:color w:val="auto"/>
        </w:rPr>
      </w:pPr>
    </w:p>
    <w:p>
      <w:pPr>
        <w:jc w:val="both"/>
        <w:ind w:left="760" w:hanging="246"/>
        <w:spacing w:after="0" w:line="268" w:lineRule="auto"/>
        <w:tabs>
          <w:tab w:leader="none" w:pos="848"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reimburse each Requisite Holder on the date hereof, for reasonable and documented fees and out-of-pocket expenses (inclusive of any reasonable estimate of fees and expenses through and including the date hereof), which shall be limited to the charges of Gibson, Dunn &amp; Crutcher LLP, as counsel, incurred in connection with the preparation of this Supplemental Indenture or the HC2B Transactions.</w:t>
      </w:r>
    </w:p>
    <w:p>
      <w:pPr>
        <w:spacing w:after="0" w:line="126" w:lineRule="exact"/>
        <w:rPr>
          <w:sz w:val="20"/>
          <w:szCs w:val="20"/>
          <w:color w:val="auto"/>
        </w:rPr>
      </w:pPr>
    </w:p>
    <w:p>
      <w:pPr>
        <w:jc w:val="both"/>
        <w:ind w:firstLine="191"/>
        <w:spacing w:after="0" w:line="264" w:lineRule="auto"/>
        <w:rPr>
          <w:sz w:val="20"/>
          <w:szCs w:val="20"/>
          <w:color w:val="auto"/>
        </w:rPr>
      </w:pPr>
      <w:r>
        <w:rPr>
          <w:rFonts w:ascii="Times New Roman" w:cs="Times New Roman" w:eastAsia="Times New Roman" w:hAnsi="Times New Roman"/>
          <w:sz w:val="17"/>
          <w:szCs w:val="17"/>
          <w:color w:val="auto"/>
        </w:rPr>
        <w:t xml:space="preserve">Section 4.08 </w:t>
      </w:r>
      <w:r>
        <w:rPr>
          <w:rFonts w:ascii="Times New Roman" w:cs="Times New Roman" w:eastAsia="Times New Roman" w:hAnsi="Times New Roman"/>
          <w:sz w:val="17"/>
          <w:szCs w:val="17"/>
          <w:i w:val="1"/>
          <w:iCs w:val="1"/>
          <w:color w:val="auto"/>
        </w:rPr>
        <w:t>Effectiveness</w:t>
      </w:r>
      <w:r>
        <w:rPr>
          <w:rFonts w:ascii="Times New Roman" w:cs="Times New Roman" w:eastAsia="Times New Roman" w:hAnsi="Times New Roman"/>
          <w:sz w:val="17"/>
          <w:szCs w:val="17"/>
          <w:color w:val="auto"/>
        </w:rPr>
        <w:t>. This Supplemental Indenture shall become effective (i) upon execution by the parties hereto, and (ii) payment of all accrued fees and expenses of Gibson, Dunn and Crutcher LLP as counsel to the Holders of outstanding Notes. Except as supplemented hereby, all provisions in the Indenture shall remain in full force and effect.</w:t>
      </w:r>
    </w:p>
    <w:p>
      <w:pPr>
        <w:sectPr>
          <w:pgSz w:w="11900" w:h="16838" w:orient="portrait"/>
          <w:cols w:equalWidth="0" w:num="1">
            <w:col w:w="11280"/>
          </w:cols>
          <w:pgMar w:left="300" w:top="1116" w:right="31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6"/>
          <w:szCs w:val="16"/>
          <w:color w:val="auto"/>
        </w:rPr>
        <w:t>IN WITNESS WHEREOF, the parties hereto have caused this Supplemental Indenture to be duly executed and attested, all as of the date first above written.</w:t>
      </w:r>
    </w:p>
    <w:p>
      <w:pPr>
        <w:sectPr>
          <w:pgSz w:w="11900" w:h="16838" w:orient="portrait"/>
          <w:cols w:equalWidth="0" w:num="1">
            <w:col w:w="10620"/>
          </w:cols>
          <w:pgMar w:left="820" w:top="1148" w:right="459" w:bottom="1440" w:gutter="0" w:footer="0" w:header="0"/>
        </w:sectPr>
      </w:pPr>
    </w:p>
    <w:p>
      <w:pPr>
        <w:spacing w:after="0" w:line="230"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7"/>
          <w:szCs w:val="17"/>
          <w:color w:val="auto"/>
        </w:rPr>
        <w:t>INNOVATE Corp.</w:t>
      </w:r>
    </w:p>
    <w:p>
      <w:pPr>
        <w:spacing w:after="0" w:line="229" w:lineRule="exact"/>
        <w:rPr>
          <w:sz w:val="20"/>
          <w:szCs w:val="20"/>
          <w:color w:val="auto"/>
        </w:rPr>
      </w:pPr>
    </w:p>
    <w:tbl>
      <w:tblPr>
        <w:tblLayout w:type="fixed"/>
        <w:tblInd w:w="2560" w:type="dxa"/>
        <w:tblCellMar>
          <w:top w:w="0" w:type="dxa"/>
          <w:left w:w="0" w:type="dxa"/>
          <w:bottom w:w="0" w:type="dxa"/>
          <w:right w:w="0" w:type="dxa"/>
        </w:tblCellMar>
      </w:tblPr>
      <w:tr>
        <w:trPr>
          <w:trHeight w:val="245"/>
        </w:trPr>
        <w:tc>
          <w:tcPr>
            <w:tcW w:w="68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29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 xml:space="preserve">/s/ </w:t>
            </w:r>
            <w:r>
              <w:rPr>
                <w:rFonts w:ascii="Times New Roman" w:cs="Times New Roman" w:eastAsia="Times New Roman" w:hAnsi="Times New Roman"/>
                <w:sz w:val="17"/>
                <w:szCs w:val="17"/>
                <w:i w:val="1"/>
                <w:iCs w:val="1"/>
                <w:color w:val="auto"/>
              </w:rPr>
              <w:t>Michael J. Sena</w:t>
            </w:r>
          </w:p>
        </w:tc>
      </w:tr>
      <w:tr>
        <w:trPr>
          <w:trHeight w:val="202"/>
        </w:trPr>
        <w:tc>
          <w:tcPr>
            <w:tcW w:w="68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2940" w:type="dxa"/>
            <w:vAlign w:val="bottom"/>
          </w:tcPr>
          <w:p>
            <w:pPr>
              <w:spacing w:after="0"/>
              <w:rPr>
                <w:sz w:val="20"/>
                <w:szCs w:val="20"/>
                <w:color w:val="auto"/>
              </w:rPr>
            </w:pPr>
            <w:r>
              <w:rPr>
                <w:rFonts w:ascii="Times New Roman" w:cs="Times New Roman" w:eastAsia="Times New Roman" w:hAnsi="Times New Roman"/>
                <w:sz w:val="17"/>
                <w:szCs w:val="17"/>
                <w:color w:val="auto"/>
              </w:rPr>
              <w:t>Michael J. Sena</w:t>
            </w:r>
          </w:p>
        </w:tc>
      </w:tr>
      <w:tr>
        <w:trPr>
          <w:trHeight w:val="219"/>
        </w:trPr>
        <w:tc>
          <w:tcPr>
            <w:tcW w:w="68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2940" w:type="dxa"/>
            <w:vAlign w:val="bottom"/>
          </w:tcPr>
          <w:p>
            <w:pPr>
              <w:spacing w:after="0"/>
              <w:rPr>
                <w:sz w:val="20"/>
                <w:szCs w:val="20"/>
                <w:color w:val="auto"/>
              </w:rPr>
            </w:pPr>
            <w:r>
              <w:rPr>
                <w:rFonts w:ascii="Times New Roman" w:cs="Times New Roman" w:eastAsia="Times New Roman" w:hAnsi="Times New Roman"/>
                <w:sz w:val="17"/>
                <w:szCs w:val="17"/>
                <w:color w:val="auto"/>
              </w:rPr>
              <w:t>Chief Financial Officer</w:t>
            </w:r>
          </w:p>
        </w:tc>
      </w:tr>
      <w:tr>
        <w:trPr>
          <w:trHeight w:val="637"/>
        </w:trPr>
        <w:tc>
          <w:tcPr>
            <w:tcW w:w="36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INNOVATE 2 Corp.</w:t>
            </w:r>
          </w:p>
        </w:tc>
      </w:tr>
      <w:tr>
        <w:trPr>
          <w:trHeight w:val="450"/>
        </w:trPr>
        <w:tc>
          <w:tcPr>
            <w:tcW w:w="68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29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 xml:space="preserve">/s/ </w:t>
            </w:r>
            <w:r>
              <w:rPr>
                <w:rFonts w:ascii="Times New Roman" w:cs="Times New Roman" w:eastAsia="Times New Roman" w:hAnsi="Times New Roman"/>
                <w:sz w:val="17"/>
                <w:szCs w:val="17"/>
                <w:i w:val="1"/>
                <w:iCs w:val="1"/>
                <w:color w:val="auto"/>
              </w:rPr>
              <w:t>Michael J. Sena</w:t>
            </w:r>
          </w:p>
        </w:tc>
      </w:tr>
      <w:tr>
        <w:trPr>
          <w:trHeight w:val="202"/>
        </w:trPr>
        <w:tc>
          <w:tcPr>
            <w:tcW w:w="68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2940" w:type="dxa"/>
            <w:vAlign w:val="bottom"/>
          </w:tcPr>
          <w:p>
            <w:pPr>
              <w:spacing w:after="0"/>
              <w:rPr>
                <w:sz w:val="20"/>
                <w:szCs w:val="20"/>
                <w:color w:val="auto"/>
              </w:rPr>
            </w:pPr>
            <w:r>
              <w:rPr>
                <w:rFonts w:ascii="Times New Roman" w:cs="Times New Roman" w:eastAsia="Times New Roman" w:hAnsi="Times New Roman"/>
                <w:sz w:val="17"/>
                <w:szCs w:val="17"/>
                <w:color w:val="auto"/>
              </w:rPr>
              <w:t>Michael J. Sena</w:t>
            </w:r>
          </w:p>
        </w:tc>
      </w:tr>
      <w:tr>
        <w:trPr>
          <w:trHeight w:val="170"/>
        </w:trPr>
        <w:tc>
          <w:tcPr>
            <w:tcW w:w="680" w:type="dxa"/>
            <w:vAlign w:val="bottom"/>
          </w:tcPr>
          <w:p>
            <w:pPr>
              <w:spacing w:after="0" w:line="170" w:lineRule="exact"/>
              <w:rPr>
                <w:sz w:val="20"/>
                <w:szCs w:val="20"/>
                <w:color w:val="auto"/>
              </w:rPr>
            </w:pPr>
            <w:r>
              <w:rPr>
                <w:rFonts w:ascii="Times New Roman" w:cs="Times New Roman" w:eastAsia="Times New Roman" w:hAnsi="Times New Roman"/>
                <w:sz w:val="17"/>
                <w:szCs w:val="17"/>
                <w:color w:val="auto"/>
              </w:rPr>
              <w:t>Title:</w:t>
            </w:r>
          </w:p>
        </w:tc>
        <w:tc>
          <w:tcPr>
            <w:tcW w:w="2940" w:type="dxa"/>
            <w:vAlign w:val="bottom"/>
          </w:tcPr>
          <w:p>
            <w:pPr>
              <w:ind w:left="40"/>
              <w:spacing w:after="0" w:line="170" w:lineRule="exact"/>
              <w:rPr>
                <w:sz w:val="20"/>
                <w:szCs w:val="20"/>
                <w:color w:val="auto"/>
              </w:rPr>
            </w:pPr>
            <w:r>
              <w:rPr>
                <w:rFonts w:ascii="Times New Roman" w:cs="Times New Roman" w:eastAsia="Times New Roman" w:hAnsi="Times New Roman"/>
                <w:sz w:val="17"/>
                <w:szCs w:val="17"/>
                <w:color w:val="auto"/>
              </w:rPr>
              <w:t>Chief Executive Officer and Chief</w:t>
            </w:r>
          </w:p>
        </w:tc>
      </w:tr>
      <w:tr>
        <w:trPr>
          <w:trHeight w:val="219"/>
        </w:trPr>
        <w:tc>
          <w:tcPr>
            <w:tcW w:w="680" w:type="dxa"/>
            <w:vAlign w:val="bottom"/>
          </w:tcPr>
          <w:p>
            <w:pPr>
              <w:spacing w:after="0"/>
              <w:rPr>
                <w:sz w:val="19"/>
                <w:szCs w:val="19"/>
                <w:color w:val="auto"/>
              </w:rPr>
            </w:pPr>
          </w:p>
        </w:tc>
        <w:tc>
          <w:tcPr>
            <w:tcW w:w="29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Financial Officer</w:t>
            </w:r>
          </w:p>
        </w:tc>
      </w:tr>
      <w:tr>
        <w:trPr>
          <w:trHeight w:val="637"/>
        </w:trPr>
        <w:tc>
          <w:tcPr>
            <w:tcW w:w="36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DBM Global Intermediate Holdco Inc.</w:t>
            </w:r>
          </w:p>
        </w:tc>
      </w:tr>
      <w:tr>
        <w:trPr>
          <w:trHeight w:val="450"/>
        </w:trPr>
        <w:tc>
          <w:tcPr>
            <w:tcW w:w="68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29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 xml:space="preserve">/s/ </w:t>
            </w:r>
            <w:r>
              <w:rPr>
                <w:rFonts w:ascii="Times New Roman" w:cs="Times New Roman" w:eastAsia="Times New Roman" w:hAnsi="Times New Roman"/>
                <w:sz w:val="17"/>
                <w:szCs w:val="17"/>
                <w:i w:val="1"/>
                <w:iCs w:val="1"/>
                <w:color w:val="auto"/>
              </w:rPr>
              <w:t>Michael J. Sena</w:t>
            </w:r>
          </w:p>
        </w:tc>
      </w:tr>
      <w:tr>
        <w:trPr>
          <w:trHeight w:val="202"/>
        </w:trPr>
        <w:tc>
          <w:tcPr>
            <w:tcW w:w="68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2940" w:type="dxa"/>
            <w:vAlign w:val="bottom"/>
          </w:tcPr>
          <w:p>
            <w:pPr>
              <w:spacing w:after="0"/>
              <w:rPr>
                <w:sz w:val="20"/>
                <w:szCs w:val="20"/>
                <w:color w:val="auto"/>
              </w:rPr>
            </w:pPr>
            <w:r>
              <w:rPr>
                <w:rFonts w:ascii="Times New Roman" w:cs="Times New Roman" w:eastAsia="Times New Roman" w:hAnsi="Times New Roman"/>
                <w:sz w:val="17"/>
                <w:szCs w:val="17"/>
                <w:color w:val="auto"/>
              </w:rPr>
              <w:t>Michael J. Sena</w:t>
            </w:r>
          </w:p>
        </w:tc>
      </w:tr>
      <w:tr>
        <w:trPr>
          <w:trHeight w:val="170"/>
        </w:trPr>
        <w:tc>
          <w:tcPr>
            <w:tcW w:w="680" w:type="dxa"/>
            <w:vAlign w:val="bottom"/>
          </w:tcPr>
          <w:p>
            <w:pPr>
              <w:spacing w:after="0" w:line="170" w:lineRule="exact"/>
              <w:rPr>
                <w:sz w:val="20"/>
                <w:szCs w:val="20"/>
                <w:color w:val="auto"/>
              </w:rPr>
            </w:pPr>
            <w:r>
              <w:rPr>
                <w:rFonts w:ascii="Times New Roman" w:cs="Times New Roman" w:eastAsia="Times New Roman" w:hAnsi="Times New Roman"/>
                <w:sz w:val="17"/>
                <w:szCs w:val="17"/>
                <w:color w:val="auto"/>
              </w:rPr>
              <w:t>Title:</w:t>
            </w:r>
          </w:p>
        </w:tc>
        <w:tc>
          <w:tcPr>
            <w:tcW w:w="2940" w:type="dxa"/>
            <w:vAlign w:val="bottom"/>
          </w:tcPr>
          <w:p>
            <w:pPr>
              <w:ind w:left="40"/>
              <w:spacing w:after="0" w:line="170" w:lineRule="exact"/>
              <w:rPr>
                <w:sz w:val="20"/>
                <w:szCs w:val="20"/>
                <w:color w:val="auto"/>
              </w:rPr>
            </w:pPr>
            <w:r>
              <w:rPr>
                <w:rFonts w:ascii="Times New Roman" w:cs="Times New Roman" w:eastAsia="Times New Roman" w:hAnsi="Times New Roman"/>
                <w:sz w:val="17"/>
                <w:szCs w:val="17"/>
                <w:color w:val="auto"/>
              </w:rPr>
              <w:t>Chief Executive Officer and Chief</w:t>
            </w:r>
          </w:p>
        </w:tc>
      </w:tr>
      <w:tr>
        <w:trPr>
          <w:trHeight w:val="219"/>
        </w:trPr>
        <w:tc>
          <w:tcPr>
            <w:tcW w:w="680" w:type="dxa"/>
            <w:vAlign w:val="bottom"/>
          </w:tcPr>
          <w:p>
            <w:pPr>
              <w:spacing w:after="0"/>
              <w:rPr>
                <w:sz w:val="19"/>
                <w:szCs w:val="19"/>
                <w:color w:val="auto"/>
              </w:rPr>
            </w:pPr>
          </w:p>
        </w:tc>
        <w:tc>
          <w:tcPr>
            <w:tcW w:w="29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Financial Officer</w:t>
            </w:r>
          </w:p>
        </w:tc>
      </w:tr>
    </w:tbl>
    <w:p>
      <w:pPr>
        <w:spacing w:after="0" w:line="200" w:lineRule="exact"/>
        <w:rPr>
          <w:sz w:val="20"/>
          <w:szCs w:val="20"/>
          <w:color w:val="auto"/>
        </w:rPr>
      </w:pPr>
    </w:p>
    <w:p>
      <w:pPr>
        <w:spacing w:after="0" w:line="210"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7"/>
          <w:szCs w:val="17"/>
          <w:color w:val="auto"/>
        </w:rPr>
        <w:t>U.S. Bank Trust Company, National Association,</w:t>
      </w:r>
    </w:p>
    <w:p>
      <w:pPr>
        <w:ind w:left="2560"/>
        <w:spacing w:after="0"/>
        <w:rPr>
          <w:sz w:val="20"/>
          <w:szCs w:val="20"/>
          <w:color w:val="auto"/>
        </w:rPr>
      </w:pPr>
      <w:r>
        <w:rPr>
          <w:rFonts w:ascii="Times New Roman" w:cs="Times New Roman" w:eastAsia="Times New Roman" w:hAnsi="Times New Roman"/>
          <w:sz w:val="17"/>
          <w:szCs w:val="17"/>
          <w:color w:val="auto"/>
        </w:rPr>
        <w:t>As Trustee</w:t>
      </w:r>
    </w:p>
    <w:p>
      <w:pPr>
        <w:spacing w:after="0" w:line="207" w:lineRule="exact"/>
        <w:rPr>
          <w:sz w:val="20"/>
          <w:szCs w:val="20"/>
          <w:color w:val="auto"/>
        </w:rPr>
      </w:pPr>
    </w:p>
    <w:p>
      <w:pPr>
        <w:ind w:left="2560"/>
        <w:spacing w:after="0"/>
        <w:tabs>
          <w:tab w:leader="none" w:pos="322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i w:val="1"/>
          <w:iCs w:val="1"/>
          <w:color w:val="auto"/>
        </w:rPr>
        <w:t>/s/ Quinton M. DePompolo</w:t>
      </w:r>
    </w:p>
    <w:p>
      <w:pPr>
        <w:spacing w:after="0" w:line="28" w:lineRule="exact"/>
        <w:rPr>
          <w:sz w:val="20"/>
          <w:szCs w:val="20"/>
          <w:color w:val="auto"/>
        </w:rPr>
      </w:pPr>
    </w:p>
    <w:p>
      <w:pPr>
        <w:ind w:left="2560"/>
        <w:spacing w:after="0"/>
        <w:tabs>
          <w:tab w:leader="none" w:pos="3220" w:val="left"/>
        </w:tabs>
        <w:rPr>
          <w:sz w:val="20"/>
          <w:szCs w:val="20"/>
          <w:color w:val="auto"/>
        </w:rPr>
      </w:pPr>
      <w:r>
        <w:rPr>
          <w:rFonts w:ascii="Times New Roman" w:cs="Times New Roman" w:eastAsia="Times New Roman" w:hAnsi="Times New Roman"/>
          <w:sz w:val="17"/>
          <w:szCs w:val="17"/>
          <w:color w:val="auto"/>
        </w:rPr>
        <w:t>Name:</w:t>
        <w:tab/>
        <w:t>Quinton M. DePompolo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2051050</wp:posOffset>
            </wp:positionH>
            <wp:positionV relativeFrom="paragraph">
              <wp:posOffset>-121285</wp:posOffset>
            </wp:positionV>
            <wp:extent cx="1873250" cy="69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873250" cy="6985"/>
                    </a:xfrm>
                    <a:prstGeom prst="rect">
                      <a:avLst/>
                    </a:prstGeom>
                    <a:noFill/>
                  </pic:spPr>
                </pic:pic>
              </a:graphicData>
            </a:graphic>
          </wp:anchor>
        </w:drawing>
      </w:r>
    </w:p>
    <w:p>
      <w:pPr>
        <w:spacing w:after="0" w:line="7" w:lineRule="exact"/>
        <w:rPr>
          <w:sz w:val="20"/>
          <w:szCs w:val="20"/>
          <w:color w:val="auto"/>
        </w:rPr>
      </w:pPr>
    </w:p>
    <w:p>
      <w:pPr>
        <w:ind w:left="2560"/>
        <w:spacing w:after="0"/>
        <w:tabs>
          <w:tab w:leader="none" w:pos="3220" w:val="left"/>
        </w:tabs>
        <w:rPr>
          <w:sz w:val="20"/>
          <w:szCs w:val="20"/>
          <w:color w:val="auto"/>
        </w:rPr>
      </w:pPr>
      <w:r>
        <w:rPr>
          <w:rFonts w:ascii="Times New Roman" w:cs="Times New Roman" w:eastAsia="Times New Roman" w:hAnsi="Times New Roman"/>
          <w:sz w:val="17"/>
          <w:szCs w:val="17"/>
          <w:color w:val="auto"/>
        </w:rPr>
        <w:t>Title:</w:t>
      </w:r>
      <w:r>
        <w:rPr>
          <w:sz w:val="20"/>
          <w:szCs w:val="20"/>
          <w:color w:val="auto"/>
        </w:rPr>
        <w:tab/>
      </w:r>
      <w:r>
        <w:rPr>
          <w:rFonts w:ascii="Times New Roman" w:cs="Times New Roman" w:eastAsia="Times New Roman" w:hAnsi="Times New Roman"/>
          <w:sz w:val="17"/>
          <w:szCs w:val="17"/>
          <w:color w:val="auto"/>
        </w:rPr>
        <w:t>Vice President</w:t>
      </w:r>
    </w:p>
    <w:p>
      <w:pPr>
        <w:spacing w:after="0" w:line="200" w:lineRule="exact"/>
        <w:rPr>
          <w:sz w:val="20"/>
          <w:szCs w:val="20"/>
          <w:color w:val="auto"/>
        </w:rPr>
      </w:pPr>
    </w:p>
    <w:p>
      <w:pPr>
        <w:spacing w:after="0" w:line="226"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7"/>
          <w:szCs w:val="17"/>
          <w:color w:val="auto"/>
        </w:rPr>
        <w:t>U.S. Bank Trust Company, National Association,</w:t>
      </w:r>
    </w:p>
    <w:p>
      <w:pPr>
        <w:ind w:left="2560"/>
        <w:spacing w:after="0"/>
        <w:rPr>
          <w:sz w:val="20"/>
          <w:szCs w:val="20"/>
          <w:color w:val="auto"/>
        </w:rPr>
      </w:pPr>
      <w:r>
        <w:rPr>
          <w:rFonts w:ascii="Times New Roman" w:cs="Times New Roman" w:eastAsia="Times New Roman" w:hAnsi="Times New Roman"/>
          <w:sz w:val="17"/>
          <w:szCs w:val="17"/>
          <w:color w:val="auto"/>
        </w:rPr>
        <w:t>As Collateral Trustee</w:t>
      </w:r>
    </w:p>
    <w:p>
      <w:pPr>
        <w:spacing w:after="0" w:line="207" w:lineRule="exact"/>
        <w:rPr>
          <w:sz w:val="20"/>
          <w:szCs w:val="20"/>
          <w:color w:val="auto"/>
        </w:rPr>
      </w:pPr>
    </w:p>
    <w:p>
      <w:pPr>
        <w:ind w:left="2560"/>
        <w:spacing w:after="0"/>
        <w:tabs>
          <w:tab w:leader="none" w:pos="322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i w:val="1"/>
          <w:iCs w:val="1"/>
          <w:color w:val="auto"/>
        </w:rPr>
        <w:t>/s/ Quinton M. DePompolo</w:t>
      </w:r>
    </w:p>
    <w:p>
      <w:pPr>
        <w:spacing w:after="0" w:line="28" w:lineRule="exact"/>
        <w:rPr>
          <w:sz w:val="20"/>
          <w:szCs w:val="20"/>
          <w:color w:val="auto"/>
        </w:rPr>
      </w:pPr>
    </w:p>
    <w:p>
      <w:pPr>
        <w:ind w:left="2560"/>
        <w:spacing w:after="0"/>
        <w:tabs>
          <w:tab w:leader="none" w:pos="3220" w:val="left"/>
        </w:tabs>
        <w:rPr>
          <w:sz w:val="20"/>
          <w:szCs w:val="20"/>
          <w:color w:val="auto"/>
        </w:rPr>
      </w:pPr>
      <w:r>
        <w:rPr>
          <w:rFonts w:ascii="Times New Roman" w:cs="Times New Roman" w:eastAsia="Times New Roman" w:hAnsi="Times New Roman"/>
          <w:sz w:val="17"/>
          <w:szCs w:val="17"/>
          <w:color w:val="auto"/>
        </w:rPr>
        <w:t>Name:</w:t>
        <w:tab/>
        <w:t>Quinton M. DePompolo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2051050</wp:posOffset>
            </wp:positionH>
            <wp:positionV relativeFrom="paragraph">
              <wp:posOffset>-121285</wp:posOffset>
            </wp:positionV>
            <wp:extent cx="1873250" cy="69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873250" cy="6985"/>
                    </a:xfrm>
                    <a:prstGeom prst="rect">
                      <a:avLst/>
                    </a:prstGeom>
                    <a:noFill/>
                  </pic:spPr>
                </pic:pic>
              </a:graphicData>
            </a:graphic>
          </wp:anchor>
        </w:drawing>
      </w:r>
    </w:p>
    <w:p>
      <w:pPr>
        <w:spacing w:after="0" w:line="7" w:lineRule="exact"/>
        <w:rPr>
          <w:sz w:val="20"/>
          <w:szCs w:val="20"/>
          <w:color w:val="auto"/>
        </w:rPr>
      </w:pPr>
    </w:p>
    <w:p>
      <w:pPr>
        <w:ind w:left="2560"/>
        <w:spacing w:after="0"/>
        <w:tabs>
          <w:tab w:leader="none" w:pos="3220" w:val="left"/>
        </w:tabs>
        <w:rPr>
          <w:sz w:val="20"/>
          <w:szCs w:val="20"/>
          <w:color w:val="auto"/>
        </w:rPr>
      </w:pPr>
      <w:r>
        <w:rPr>
          <w:rFonts w:ascii="Times New Roman" w:cs="Times New Roman" w:eastAsia="Times New Roman" w:hAnsi="Times New Roman"/>
          <w:sz w:val="17"/>
          <w:szCs w:val="17"/>
          <w:color w:val="auto"/>
        </w:rPr>
        <w:t>Title:</w:t>
      </w:r>
      <w:r>
        <w:rPr>
          <w:sz w:val="20"/>
          <w:szCs w:val="20"/>
          <w:color w:val="auto"/>
        </w:rPr>
        <w:tab/>
      </w:r>
      <w:r>
        <w:rPr>
          <w:rFonts w:ascii="Times New Roman" w:cs="Times New Roman" w:eastAsia="Times New Roman" w:hAnsi="Times New Roman"/>
          <w:sz w:val="17"/>
          <w:szCs w:val="17"/>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Signature Page to First Supplemental Indenture to New Convertible Secured Notes Indenture</w:t>
      </w:r>
      <w:r>
        <w:rPr>
          <w:rFonts w:ascii="Times New Roman" w:cs="Times New Roman" w:eastAsia="Times New Roman" w:hAnsi="Times New Roman"/>
          <w:sz w:val="16"/>
          <w:szCs w:val="16"/>
          <w:color w:val="auto"/>
        </w:rPr>
        <w:t>]</w:t>
      </w:r>
    </w:p>
    <w:p>
      <w:pPr>
        <w:sectPr>
          <w:pgSz w:w="11900" w:h="16838" w:orient="portrait"/>
          <w:cols w:equalWidth="0" w:num="1">
            <w:col w:w="10620"/>
          </w:cols>
          <w:pgMar w:left="820" w:top="1148" w:right="459" w:bottom="1440" w:gutter="0" w:footer="0" w:header="0"/>
          <w:type w:val="continuous"/>
        </w:sectPr>
      </w:pPr>
    </w:p>
    <w:bookmarkStart w:id="199" w:name="page200"/>
    <w:bookmarkEnd w:id="199"/>
    <w:p>
      <w:pPr>
        <w:jc w:val="right"/>
        <w:spacing w:after="0"/>
        <w:rPr>
          <w:sz w:val="20"/>
          <w:szCs w:val="20"/>
          <w:color w:val="auto"/>
        </w:rPr>
      </w:pPr>
      <w:r>
        <w:rPr>
          <w:rFonts w:ascii="Times New Roman" w:cs="Times New Roman" w:eastAsia="Times New Roman" w:hAnsi="Times New Roman"/>
          <w:sz w:val="17"/>
          <w:szCs w:val="17"/>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NINTH AMENDMENT TO CREDIT AGREEMENT</w:t>
      </w:r>
    </w:p>
    <w:p>
      <w:pPr>
        <w:spacing w:after="0" w:line="176"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7"/>
          <w:szCs w:val="17"/>
          <w:color w:val="auto"/>
        </w:rPr>
        <w:t>NINTH AMENDMENT TO CREDIT AGREEMENT (this “Amendment”), dated as of May 29, 2026, by and among INNOVATE Corp. (f/k/a HC2 Holdings, Inc.), a Delaware corporation (the “</w:t>
      </w:r>
      <w:r>
        <w:rPr>
          <w:rFonts w:ascii="Times New Roman" w:cs="Times New Roman" w:eastAsia="Times New Roman" w:hAnsi="Times New Roman"/>
          <w:sz w:val="17"/>
          <w:szCs w:val="17"/>
          <w:i w:val="1"/>
          <w:iCs w:val="1"/>
          <w:color w:val="auto"/>
        </w:rPr>
        <w:t>Borrower</w:t>
      </w:r>
      <w:r>
        <w:rPr>
          <w:rFonts w:ascii="Times New Roman" w:cs="Times New Roman" w:eastAsia="Times New Roman" w:hAnsi="Times New Roman"/>
          <w:sz w:val="17"/>
          <w:szCs w:val="17"/>
          <w:color w:val="auto"/>
        </w:rPr>
        <w:t>”), the guarantors party to the Credit Agreement referred to below (the “</w:t>
      </w:r>
      <w:r>
        <w:rPr>
          <w:rFonts w:ascii="Times New Roman" w:cs="Times New Roman" w:eastAsia="Times New Roman" w:hAnsi="Times New Roman"/>
          <w:sz w:val="17"/>
          <w:szCs w:val="17"/>
          <w:i w:val="1"/>
          <w:iCs w:val="1"/>
          <w:color w:val="auto"/>
        </w:rPr>
        <w:t>Guarantors</w:t>
      </w:r>
      <w:r>
        <w:rPr>
          <w:rFonts w:ascii="Times New Roman" w:cs="Times New Roman" w:eastAsia="Times New Roman" w:hAnsi="Times New Roman"/>
          <w:sz w:val="17"/>
          <w:szCs w:val="17"/>
          <w:color w:val="auto"/>
        </w:rPr>
        <w:t>”) and MSD PCOF Partners IX, LLC, as lender (the “</w:t>
      </w:r>
      <w:r>
        <w:rPr>
          <w:rFonts w:ascii="Times New Roman" w:cs="Times New Roman" w:eastAsia="Times New Roman" w:hAnsi="Times New Roman"/>
          <w:sz w:val="17"/>
          <w:szCs w:val="17"/>
          <w:i w:val="1"/>
          <w:iCs w:val="1"/>
          <w:color w:val="auto"/>
        </w:rPr>
        <w:t>Lender</w:t>
      </w:r>
      <w:r>
        <w:rPr>
          <w:rFonts w:ascii="Times New Roman" w:cs="Times New Roman" w:eastAsia="Times New Roman" w:hAnsi="Times New Roman"/>
          <w:sz w:val="17"/>
          <w:szCs w:val="17"/>
          <w:color w:val="auto"/>
        </w:rPr>
        <w:t>”) under the Credit Agreement referred to below.</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 I T N E S S E T H</w:t>
      </w:r>
    </w:p>
    <w:p>
      <w:pPr>
        <w:spacing w:after="0" w:line="176"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7"/>
          <w:szCs w:val="17"/>
          <w:color w:val="auto"/>
        </w:rPr>
        <w:t>WHEREAS, reference is made to the Credit Agreement, dated as of March 13, 2020 (as amended by that certain First Amendment to Credit Agreement, dated as of August 10, 2020, that certain Waiver, Consent and Second Amendment to Credit Agreement, dated as of February 1, 2021, that certain Third Amendment to Credit Agreement, dated as of February 23, 2021, that certain Fourth Amendment to Credit Agreement, dated as of April 25, 2023, that certain Fifth Amendment to Credit Agreement, dated as of May 6, 2024, that certain Sixth Amendment to Credit Agreement, dated as of March 6, 2025, that certain Seventh Amendment to Credit Agreement, dated as of July 31, 2025, and that certain Eighth Amendment to Credit Agreement, dated as of August 4, 2025, the “</w:t>
      </w:r>
      <w:r>
        <w:rPr>
          <w:rFonts w:ascii="Times New Roman" w:cs="Times New Roman" w:eastAsia="Times New Roman" w:hAnsi="Times New Roman"/>
          <w:sz w:val="17"/>
          <w:szCs w:val="17"/>
          <w:i w:val="1"/>
          <w:iCs w:val="1"/>
          <w:color w:val="auto"/>
        </w:rPr>
        <w:t>Credit Agreement</w:t>
      </w:r>
      <w:r>
        <w:rPr>
          <w:rFonts w:ascii="Times New Roman" w:cs="Times New Roman" w:eastAsia="Times New Roman" w:hAnsi="Times New Roman"/>
          <w:sz w:val="17"/>
          <w:szCs w:val="17"/>
          <w:color w:val="auto"/>
        </w:rPr>
        <w:t>”; the Credit Agreement as amended hereby being referred to herein as the “</w:t>
      </w:r>
      <w:r>
        <w:rPr>
          <w:rFonts w:ascii="Times New Roman" w:cs="Times New Roman" w:eastAsia="Times New Roman" w:hAnsi="Times New Roman"/>
          <w:sz w:val="17"/>
          <w:szCs w:val="17"/>
          <w:i w:val="1"/>
          <w:iCs w:val="1"/>
          <w:color w:val="auto"/>
        </w:rPr>
        <w:t>Amended Credit Agreement</w:t>
      </w:r>
      <w:r>
        <w:rPr>
          <w:rFonts w:ascii="Times New Roman" w:cs="Times New Roman" w:eastAsia="Times New Roman" w:hAnsi="Times New Roman"/>
          <w:sz w:val="17"/>
          <w:szCs w:val="17"/>
          <w:color w:val="auto"/>
        </w:rPr>
        <w:t>”), among the Borrower, the Guarantors, and the Lender, and the Lender provided a revolving credit facility to the Borrower pursuant to the terms and conditions thereof;</w:t>
      </w:r>
    </w:p>
    <w:p>
      <w:pPr>
        <w:spacing w:after="0" w:line="143" w:lineRule="exact"/>
        <w:rPr>
          <w:sz w:val="20"/>
          <w:szCs w:val="20"/>
          <w:color w:val="auto"/>
        </w:rPr>
      </w:pPr>
    </w:p>
    <w:p>
      <w:pPr>
        <w:jc w:val="both"/>
        <w:ind w:firstLine="509"/>
        <w:spacing w:after="0" w:line="276" w:lineRule="auto"/>
        <w:rPr>
          <w:sz w:val="20"/>
          <w:szCs w:val="20"/>
          <w:color w:val="auto"/>
        </w:rPr>
      </w:pPr>
      <w:r>
        <w:rPr>
          <w:rFonts w:ascii="Times New Roman" w:cs="Times New Roman" w:eastAsia="Times New Roman" w:hAnsi="Times New Roman"/>
          <w:sz w:val="17"/>
          <w:szCs w:val="17"/>
          <w:color w:val="auto"/>
        </w:rPr>
        <w:t>WHEREAS, Section 10.01 of the Credit Agreement provides that, subject to certain exceptions inapplicable hereto, the Borrower may amend, waive any provision of, or consent to any departure by the Borrower or any other Loan Party from, the Credit Agreement with the written consent of the Lender;</w:t>
      </w:r>
    </w:p>
    <w:p>
      <w:pPr>
        <w:spacing w:after="0" w:line="123"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7"/>
          <w:szCs w:val="17"/>
          <w:color w:val="auto"/>
        </w:rPr>
        <w:t xml:space="preserve">WHEREAS, the Lender has agreed to (i) amend the Credit Agreement as set forth in </w:t>
      </w:r>
      <w:r>
        <w:rPr>
          <w:rFonts w:ascii="Times New Roman" w:cs="Times New Roman" w:eastAsia="Times New Roman" w:hAnsi="Times New Roman"/>
          <w:sz w:val="17"/>
          <w:szCs w:val="17"/>
          <w:u w:val="single" w:color="auto"/>
          <w:color w:val="auto"/>
        </w:rPr>
        <w:t>Article 2</w:t>
      </w:r>
      <w:r>
        <w:rPr>
          <w:rFonts w:ascii="Times New Roman" w:cs="Times New Roman" w:eastAsia="Times New Roman" w:hAnsi="Times New Roman"/>
          <w:sz w:val="17"/>
          <w:szCs w:val="17"/>
          <w:color w:val="auto"/>
        </w:rPr>
        <w:t xml:space="preserve"> herein in accordance with the provisions of the Credit Agreement, (ii) consent to the HC2B Transactions (as defined below), and (iii) waive any potential Default or Event of Default that may have occurred, or that may arise under the Credit Agreement, directly or indirectly, as a result of the HC2B Transactions; and</w:t>
      </w:r>
    </w:p>
    <w:p>
      <w:pPr>
        <w:spacing w:after="0" w:line="130" w:lineRule="exact"/>
        <w:rPr>
          <w:sz w:val="20"/>
          <w:szCs w:val="20"/>
          <w:color w:val="auto"/>
        </w:rPr>
      </w:pPr>
    </w:p>
    <w:p>
      <w:pPr>
        <w:jc w:val="both"/>
        <w:ind w:firstLine="509"/>
        <w:spacing w:after="0" w:line="276" w:lineRule="auto"/>
        <w:rPr>
          <w:sz w:val="20"/>
          <w:szCs w:val="20"/>
          <w:color w:val="auto"/>
        </w:rPr>
      </w:pPr>
      <w:r>
        <w:rPr>
          <w:rFonts w:ascii="Times New Roman" w:cs="Times New Roman" w:eastAsia="Times New Roman" w:hAnsi="Times New Roman"/>
          <w:sz w:val="17"/>
          <w:szCs w:val="17"/>
          <w:color w:val="auto"/>
        </w:rPr>
        <w:t>WHEREAS, all conditions necessary to authorize the execution and delivery of this Amendment and make it a valid and binding obligation of the Borrower, in accordance with its terms, have been done, performed or waived.</w:t>
      </w:r>
    </w:p>
    <w:p>
      <w:pPr>
        <w:spacing w:after="0" w:line="1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NOW, THEREFORE, in consideration of the foregoing and for other good and valuable consideration, the receipt of which is hereby acknowledged, the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Borrower and the Lender covenant and agree as follows:</w:t>
      </w:r>
    </w:p>
    <w:p>
      <w:pPr>
        <w:spacing w:after="0" w:line="169"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7"/>
          <w:szCs w:val="17"/>
          <w:color w:val="auto"/>
        </w:rPr>
        <w:t>ARTICLE 1.</w:t>
      </w:r>
    </w:p>
    <w:p>
      <w:pPr>
        <w:spacing w:after="0" w:line="24"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7"/>
          <w:szCs w:val="17"/>
          <w:color w:val="auto"/>
        </w:rPr>
        <w:t>DEFINITIONS</w:t>
      </w:r>
    </w:p>
    <w:p>
      <w:pPr>
        <w:spacing w:after="0" w:line="154" w:lineRule="exact"/>
        <w:rPr>
          <w:sz w:val="20"/>
          <w:szCs w:val="20"/>
          <w:color w:val="auto"/>
        </w:rPr>
      </w:pPr>
    </w:p>
    <w:p>
      <w:pPr>
        <w:ind w:left="200"/>
        <w:spacing w:after="0"/>
        <w:tabs>
          <w:tab w:leader="none" w:pos="1240" w:val="left"/>
        </w:tabs>
        <w:rPr>
          <w:sz w:val="20"/>
          <w:szCs w:val="20"/>
          <w:color w:val="auto"/>
        </w:rPr>
      </w:pPr>
      <w:r>
        <w:rPr>
          <w:rFonts w:ascii="Times New Roman" w:cs="Times New Roman" w:eastAsia="Times New Roman" w:hAnsi="Times New Roman"/>
          <w:sz w:val="17"/>
          <w:szCs w:val="17"/>
          <w:color w:val="auto"/>
        </w:rPr>
        <w:t>Section 1.01</w:t>
      </w:r>
      <w:r>
        <w:rPr>
          <w:sz w:val="20"/>
          <w:szCs w:val="20"/>
          <w:color w:val="auto"/>
        </w:rPr>
        <w:tab/>
      </w:r>
      <w:r>
        <w:rPr>
          <w:rFonts w:ascii="Times New Roman" w:cs="Times New Roman" w:eastAsia="Times New Roman" w:hAnsi="Times New Roman"/>
          <w:sz w:val="16"/>
          <w:szCs w:val="16"/>
          <w:i w:val="1"/>
          <w:iCs w:val="1"/>
          <w:color w:val="auto"/>
        </w:rPr>
        <w:t>Capitalized Terms</w:t>
      </w:r>
      <w:r>
        <w:rPr>
          <w:rFonts w:ascii="Times New Roman" w:cs="Times New Roman" w:eastAsia="Times New Roman" w:hAnsi="Times New Roman"/>
          <w:sz w:val="16"/>
          <w:szCs w:val="16"/>
          <w:color w:val="auto"/>
        </w:rPr>
        <w:t>. Capitalized terms used herein without definition shall have the meanings assigned to them in the Amended Credit Agreement.</w:t>
      </w:r>
    </w:p>
    <w:p>
      <w:pPr>
        <w:sectPr>
          <w:pgSz w:w="11900" w:h="16838" w:orient="portrait"/>
          <w:cols w:equalWidth="0" w:num="1">
            <w:col w:w="11280"/>
          </w:cols>
          <w:pgMar w:left="300" w:top="125" w:right="319" w:bottom="1440" w:gutter="0" w:footer="0" w:header="0"/>
        </w:sectPr>
      </w:pPr>
    </w:p>
    <w:bookmarkStart w:id="200" w:name="page201"/>
    <w:bookmarkEnd w:id="200"/>
    <w:p>
      <w:pPr>
        <w:jc w:val="center"/>
        <w:ind w:right="-319"/>
        <w:spacing w:after="0"/>
        <w:rPr>
          <w:sz w:val="20"/>
          <w:szCs w:val="20"/>
          <w:color w:val="auto"/>
        </w:rPr>
      </w:pPr>
      <w:r>
        <w:rPr>
          <w:rFonts w:ascii="Times New Roman" w:cs="Times New Roman" w:eastAsia="Times New Roman" w:hAnsi="Times New Roman"/>
          <w:sz w:val="17"/>
          <w:szCs w:val="17"/>
          <w:color w:val="auto"/>
        </w:rPr>
        <w:t>ARTICLE 2.</w:t>
      </w:r>
    </w:p>
    <w:p>
      <w:pPr>
        <w:spacing w:after="0" w:line="2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AMENDMENTS</w:t>
      </w:r>
    </w:p>
    <w:p>
      <w:pPr>
        <w:spacing w:after="0" w:line="154"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7"/>
          <w:szCs w:val="17"/>
          <w:color w:val="auto"/>
        </w:rPr>
        <w:t>Section 2.01</w:t>
      </w:r>
      <w:r>
        <w:rPr>
          <w:sz w:val="20"/>
          <w:szCs w:val="20"/>
          <w:color w:val="auto"/>
        </w:rPr>
        <w:tab/>
      </w:r>
      <w:r>
        <w:rPr>
          <w:rFonts w:ascii="Times New Roman" w:cs="Times New Roman" w:eastAsia="Times New Roman" w:hAnsi="Times New Roman"/>
          <w:sz w:val="16"/>
          <w:szCs w:val="16"/>
          <w:i w:val="1"/>
          <w:iCs w:val="1"/>
          <w:color w:val="auto"/>
        </w:rPr>
        <w:t>Amendments to Credit Agreement</w:t>
      </w:r>
      <w:r>
        <w:rPr>
          <w:rFonts w:ascii="Times New Roman" w:cs="Times New Roman" w:eastAsia="Times New Roman" w:hAnsi="Times New Roman"/>
          <w:sz w:val="16"/>
          <w:szCs w:val="16"/>
          <w:color w:val="auto"/>
        </w:rPr>
        <w:t>. The terms of the Credit Agreement shall be amended as set forth in this Article 2.</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  Section 1.01 of the Credit Agreement is hereby amended by:</w:t>
      </w:r>
    </w:p>
    <w:p>
      <w:pPr>
        <w:spacing w:after="0" w:line="20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(i) adding the following definitions in their relevant alphabetical location:</w:t>
      </w:r>
    </w:p>
    <w:p>
      <w:pPr>
        <w:spacing w:after="0" w:line="19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New HC2 HoldCo</w:t>
      </w:r>
      <w:r>
        <w:rPr>
          <w:rFonts w:ascii="Times New Roman" w:cs="Times New Roman" w:eastAsia="Times New Roman" w:hAnsi="Times New Roman"/>
          <w:sz w:val="17"/>
          <w:szCs w:val="17"/>
          <w:color w:val="auto"/>
        </w:rPr>
        <w:t>” means HC2 Broadcasting Holdco, LLC, a Delaware limited liability company.</w:t>
      </w:r>
    </w:p>
    <w:p>
      <w:pPr>
        <w:spacing w:after="0" w:line="19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HC2B</w:t>
      </w:r>
      <w:r>
        <w:rPr>
          <w:rFonts w:ascii="Times New Roman" w:cs="Times New Roman" w:eastAsia="Times New Roman" w:hAnsi="Times New Roman"/>
          <w:sz w:val="17"/>
          <w:szCs w:val="17"/>
          <w:color w:val="auto"/>
        </w:rPr>
        <w:t>” means, collectively, New HC2 HoldCo and its Subsidiaries.</w:t>
      </w:r>
    </w:p>
    <w:p>
      <w:pPr>
        <w:spacing w:after="0" w:line="197" w:lineRule="exact"/>
        <w:rPr>
          <w:sz w:val="20"/>
          <w:szCs w:val="20"/>
          <w:color w:val="auto"/>
        </w:rPr>
      </w:pPr>
    </w:p>
    <w:p>
      <w:pPr>
        <w:jc w:val="both"/>
        <w:ind w:left="560" w:firstLine="509"/>
        <w:spacing w:after="0" w:line="26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HC2B Merger Agreement</w:t>
      </w:r>
      <w:r>
        <w:rPr>
          <w:rFonts w:ascii="Times New Roman" w:cs="Times New Roman" w:eastAsia="Times New Roman" w:hAnsi="Times New Roman"/>
          <w:sz w:val="17"/>
          <w:szCs w:val="17"/>
          <w:color w:val="auto"/>
        </w:rPr>
        <w:t>” means that certain Agreement and Plan of Merger, by and among CONX Corp., a Nevada corporation, HC2 Merger Sub, LLC, a Delaware limited liability company, HC2, New HC2 HoldCo, and HC2 Broadcasting Holdings Inc., a Delaware corporation, as amended, restated, supplemented or otherwise modified or replaced from time to time.</w:t>
      </w:r>
    </w:p>
    <w:p>
      <w:pPr>
        <w:spacing w:after="0" w:line="161" w:lineRule="exact"/>
        <w:rPr>
          <w:sz w:val="20"/>
          <w:szCs w:val="20"/>
          <w:color w:val="auto"/>
        </w:rPr>
      </w:pPr>
    </w:p>
    <w:p>
      <w:pPr>
        <w:jc w:val="both"/>
        <w:ind w:left="560" w:firstLine="509"/>
        <w:spacing w:after="0" w:line="26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HC2 Sale</w:t>
      </w:r>
      <w:r>
        <w:rPr>
          <w:rFonts w:ascii="Times New Roman" w:cs="Times New Roman" w:eastAsia="Times New Roman" w:hAnsi="Times New Roman"/>
          <w:sz w:val="17"/>
          <w:szCs w:val="17"/>
          <w:color w:val="auto"/>
        </w:rPr>
        <w:t>” means the sale or disposition by the Borrower and its Subsidiaries of an amount of equity in New HC2 HoldCo equal to 75% (or more than 75% by way of a purchase price adjustment or indemnity claim) of the combined equity of New HC2 HoldCo pursuant to the HC2B Merger Agreement.</w:t>
      </w:r>
    </w:p>
    <w:p>
      <w:pPr>
        <w:spacing w:after="0" w:line="151" w:lineRule="exact"/>
        <w:rPr>
          <w:sz w:val="20"/>
          <w:szCs w:val="20"/>
          <w:color w:val="auto"/>
        </w:rPr>
      </w:pPr>
    </w:p>
    <w:p>
      <w:pPr>
        <w:jc w:val="both"/>
        <w:ind w:left="560" w:firstLine="509"/>
        <w:spacing w:after="0" w:line="25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CONX Loan Agreement</w:t>
      </w:r>
      <w:r>
        <w:rPr>
          <w:rFonts w:ascii="Times New Roman" w:cs="Times New Roman" w:eastAsia="Times New Roman" w:hAnsi="Times New Roman"/>
          <w:sz w:val="17"/>
          <w:szCs w:val="17"/>
          <w:color w:val="auto"/>
        </w:rPr>
        <w:t>” means that certain Loan Agreement, dated as of May 29, 2026, by and among, HC2 Broadcasting Holdings Inc., a Delaware corporation, New HC2 HoldCo, a Delaware corporation, HC2 Broadcasting Intermediate Holdings Inc., a Delaware corporation, HC2 Station Group, Inc., a Delaware corporation, HC2 Network, Inc., a Delaware corporation, HC2 Broadcasting Inc., a Delaware corporation, DTV America Corporation, a Delaware corporation, the other guarantors from time to time party thereto and HC2 Merger Sub, LLC, a Delaware limited liability company, as the lender.</w:t>
      </w:r>
    </w:p>
    <w:p>
      <w:pPr>
        <w:spacing w:after="0" w:line="155" w:lineRule="exact"/>
        <w:rPr>
          <w:sz w:val="20"/>
          <w:szCs w:val="20"/>
          <w:color w:val="auto"/>
        </w:rPr>
      </w:pPr>
    </w:p>
    <w:p>
      <w:pPr>
        <w:jc w:val="both"/>
        <w:ind w:left="560" w:firstLine="509"/>
        <w:spacing w:after="0" w:line="26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EchoStar Letter</w:t>
      </w:r>
      <w:r>
        <w:rPr>
          <w:rFonts w:ascii="Times New Roman" w:cs="Times New Roman" w:eastAsia="Times New Roman" w:hAnsi="Times New Roman"/>
          <w:sz w:val="17"/>
          <w:szCs w:val="17"/>
          <w:color w:val="auto"/>
        </w:rPr>
        <w:t>” means that certain letter agreement, dated as of May 29. 2026, by and among, CONX Corp., a Nevada Corporation, EchoStar Corporation, a Nevada corporation (“EchoStar”), and the Borrower, as amended, restated, supplemented or otherwise modified or replaced from time to time, granting EchoStar the option for a period ending on the date that is two years following the date thereof to acquire up to 80.1% of the equity interests of HC2 Broadcasting Holdings Inc.</w:t>
      </w:r>
    </w:p>
    <w:p>
      <w:pPr>
        <w:spacing w:after="0" w:line="151" w:lineRule="exact"/>
        <w:rPr>
          <w:sz w:val="20"/>
          <w:szCs w:val="20"/>
          <w:color w:val="auto"/>
        </w:rPr>
      </w:pPr>
    </w:p>
    <w:p>
      <w:pPr>
        <w:jc w:val="both"/>
        <w:ind w:left="560" w:firstLine="509"/>
        <w:spacing w:after="0" w:line="25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HC2B Transactions</w:t>
      </w:r>
      <w:r>
        <w:rPr>
          <w:rFonts w:ascii="Times New Roman" w:cs="Times New Roman" w:eastAsia="Times New Roman" w:hAnsi="Times New Roman"/>
          <w:sz w:val="17"/>
          <w:szCs w:val="17"/>
          <w:color w:val="auto"/>
        </w:rPr>
        <w:t>” means, collectively, (a) the entry by the Borrower, the guarantors party thereto and the trustee under the New Senior Secured Notes Indenture into a supplemental indenture to the New Senior Secured Notes Indenture, dated as of May 29, 2026, the performance of the obligations thereunder and the consent solicitation process undertaken with respect thereto, (b) the entry by the Borrower, the guarantors party thereto and the trustee under the New Convertible Secured Notes Indenture into a supplemental</w:t>
      </w:r>
    </w:p>
    <w:p>
      <w:pPr>
        <w:sectPr>
          <w:pgSz w:w="11900" w:h="16838" w:orient="portrait"/>
          <w:cols w:equalWidth="0" w:num="1">
            <w:col w:w="11080"/>
          </w:cols>
          <w:pgMar w:left="500" w:top="1116" w:right="319" w:bottom="1440" w:gutter="0" w:footer="0" w:header="0"/>
        </w:sectPr>
      </w:pPr>
    </w:p>
    <w:bookmarkStart w:id="201" w:name="page202"/>
    <w:bookmarkEnd w:id="201"/>
    <w:p>
      <w:pPr>
        <w:jc w:val="both"/>
        <w:spacing w:after="0" w:line="251" w:lineRule="auto"/>
        <w:rPr>
          <w:sz w:val="20"/>
          <w:szCs w:val="20"/>
          <w:color w:val="auto"/>
        </w:rPr>
      </w:pPr>
      <w:r>
        <w:rPr>
          <w:rFonts w:ascii="Times New Roman" w:cs="Times New Roman" w:eastAsia="Times New Roman" w:hAnsi="Times New Roman"/>
          <w:sz w:val="17"/>
          <w:szCs w:val="17"/>
          <w:color w:val="auto"/>
        </w:rPr>
        <w:t>indenture to the New Convertible Secured Notes Indenture, dated as of May 29, 2026, the performance of the obligations thereunder and the consent solicitation process undertaken with respect thereto, (c) the formation of New HC2 HoldCo as a Wholly Owned Domestic Subsidiary of Innovate 2 Corp., a Delaware corporation, (d) the contribution by Innovate 2 Corp. of its Equity Interests in HC2 Broadcasting Holdings Inc. to New HC2 HoldCo, (e) the entry by HC2B into the CONX Loan Agreement and the other Loan Documents (as defined therein), the occurrence of the funding thereunder and the performance of the obligations thereunder, (f) the prepayment of $121,760,978 of Indebtedness under the Existing Spectrum Promissory Notes with the loan proceeds advanced under the CONX Loan Agreement, (g) the pledge by New HC2 HoldCo to secure the Indebtedness incurred pursuant to the CONX Loan Agreement, (h) the entry by the Borrower into that certain Purchase Option Agreement, dated as of May 29, 2026, by and between HC2 Merger Sub, LLC, a Delaware limited liability company, the performance of the obligations thereunder and the exercise by the Borrower of the purchase rights granted thereunder, (i) the entry by CONX Corp., a Nevada Corporation, HC2 Merger Sub, LLC, a Delaware limited liability company, HC2 Broadcasting Holdco, LLC, a Delaware limited liability company, and HC2 Broadcasting Holdings Inc. into the HC2B Merger Agreement, (j) the HC2 Sale, (k) the disposition by the Borrower to HC2B of (1) domain names and (2) other assets immaterial to the Borrower, in each case used primarily in the business of HC2B, (l) the subordination of that certain intercompany note, dated as of April 30, 2019, by HC2 Broadcasting Holdings Inc. in favor of Innovate 2 Corp. to the CONX Loan Agreement, (m) the entry by the Borrower into the EchoStar Side Letter, the performance of the obligations thereunder and the exercise by EchoStar of the purchase rights granted thereunder and (n) the payment of all fees and expenses related thereto</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(ii) replacing the definition of “Excluded Subsidiary” in its entirety with the following definition:</w:t>
      </w:r>
    </w:p>
    <w:p>
      <w:pPr>
        <w:spacing w:after="0" w:line="18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Excluded Subsidiary</w:t>
      </w:r>
      <w:r>
        <w:rPr>
          <w:rFonts w:ascii="Times New Roman" w:cs="Times New Roman" w:eastAsia="Times New Roman" w:hAnsi="Times New Roman"/>
          <w:sz w:val="17"/>
          <w:szCs w:val="17"/>
          <w:color w:val="auto"/>
        </w:rPr>
        <w:t>” means (1) any Subsidiary that is not a Wholly Owned Subsidiary of the Borrower or a Guarantor, (2) any Foreign Subsidiary, (3) any Immaterial Subsidiary, (4) any Insurance Subsidiary, (5) any Subsidiary, including any regulated entity that is subject to net worth or net capital or similar capital and surplus restrictions, that is prohibited or restricted by applicable law or by contractual obligation (including in respect of assumed Indebtedness permitted hereunder) existing on the Issue Date (or, with respect to any Subsidiary acquired by the Borrower or a Subsidiary after the Issue Date (and so long as such contractual obligation was not incurred in contemplation of such acquisition), on the date such Subsidiary is so acquired) from providing a Guaranty, or if such Guaranty would require governmental (including regulatory) or third party (other than the Borrower, any of the Guarantors or any of their Subsidiaries) consent, approval, license or authorization, (6) any other Subsidiary with respect to which, in the reasonable judgment of the Borrower set forth in a notice delivered to the Lender, the burden or cost (including any adverse tax consequences) of providing the Guaranty will outweigh the benefits to be obtained by the Lender therefrom, (7) any Operating Subsidiary and (8) New HC2 HoldCo.</w:t>
      </w:r>
    </w:p>
    <w:p>
      <w:pPr>
        <w:sectPr>
          <w:pgSz w:w="11900" w:h="16838" w:orient="portrait"/>
          <w:cols w:equalWidth="0" w:num="1">
            <w:col w:w="10520"/>
          </w:cols>
          <w:pgMar w:left="1060" w:top="946" w:right="31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7"/>
          <w:szCs w:val="17"/>
          <w:color w:val="auto"/>
        </w:rPr>
        <w:t>(iii) replacing the definition of “Permitted Transactions” in its entirety with the following definition:</w:t>
      </w:r>
    </w:p>
    <w:p>
      <w:pPr>
        <w:spacing w:after="0" w:line="172"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Permitted Transactions</w:t>
      </w:r>
      <w:r>
        <w:rPr>
          <w:rFonts w:ascii="Times New Roman" w:cs="Times New Roman" w:eastAsia="Times New Roman" w:hAnsi="Times New Roman"/>
          <w:sz w:val="17"/>
          <w:szCs w:val="17"/>
          <w:color w:val="auto"/>
        </w:rPr>
        <w:t>” means (a) mortgage-backed security transactions in which an investor sells mortgage collateral, such as securities issued by the Government National Mortgage Association and the Federal Home Loan Mortgage Corporation, for delivery in the current month while simultaneously contracting to repurchase “substantially the same” (as determined by the Public Securities Association and GAAP) collateral for a later settlement, (b) transactions in which an investor lends cash to a primary dealer and the primary dealer collateralizes the borrowing of the cash with certain securities, (c) transactions in which an investor lends securities to a primary dealer and the primary dealer collateralizes the borrowing of the securities with cash collateral, (d) transactions in which an investor makes loans of securities to a broker-dealer under an agreement requiring such loans to be continuously secured by cash collateral or United States government securities, (e) transactions structured as, and submitted to the NAIC Security Valuation Office for approval as, Replication (Synthetic Asset) Transactions (RSAT) (provided that, to the extent that such approval is not granted in respect of any such transaction, such transaction shall cease to constitute a Permitted Transaction 30 days following the date of such rejection, denial or non-approval), (f) transactions in which a federal home loan mortgage bank (an “FHLMB”) makes loans to an Insurance Subsidiary, that are sufficiently secured by appropriate assets of such Insurance Subsidiary in accordance with the rules, regulations and guidelines of such FHLMB for its loan programs and (g) the HC2B Transactions.</w:t>
      </w:r>
    </w:p>
    <w:p>
      <w:pPr>
        <w:spacing w:after="0" w:line="172" w:lineRule="exact"/>
        <w:rPr>
          <w:sz w:val="20"/>
          <w:szCs w:val="20"/>
          <w:color w:val="auto"/>
        </w:rPr>
      </w:pPr>
    </w:p>
    <w:p>
      <w:pPr>
        <w:ind w:right="140" w:firstLine="9"/>
        <w:spacing w:after="0" w:line="276" w:lineRule="auto"/>
        <w:tabs>
          <w:tab w:leader="none" w:pos="297"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modifying the definition of “Permitted Liens” by (1) deleting the “and” at the end of clause (t) thereof, (2) inserting an “and” at the end of clause (u) thereof and (3) inserting a new clause (v) at the of the definition of “Permitted Liens” as follows:</w:t>
      </w:r>
    </w:p>
    <w:p>
      <w:pPr>
        <w:spacing w:after="0" w:line="134" w:lineRule="exact"/>
        <w:rPr>
          <w:sz w:val="20"/>
          <w:szCs w:val="20"/>
          <w:color w:val="auto"/>
        </w:rPr>
      </w:pPr>
    </w:p>
    <w:p>
      <w:pPr>
        <w:ind w:left="260"/>
        <w:spacing w:after="0" w:line="276" w:lineRule="auto"/>
        <w:rPr>
          <w:sz w:val="20"/>
          <w:szCs w:val="20"/>
          <w:color w:val="auto"/>
        </w:rPr>
      </w:pPr>
      <w:r>
        <w:rPr>
          <w:rFonts w:ascii="Times New Roman" w:cs="Times New Roman" w:eastAsia="Times New Roman" w:hAnsi="Times New Roman"/>
          <w:sz w:val="17"/>
          <w:szCs w:val="17"/>
          <w:color w:val="auto"/>
        </w:rPr>
        <w:t>“(v) Liens on property or the Equity Interests of New HC2 HoldCo and HC2B securing the Indebtedness in respect of the CONX Loan Agreement and any Permitted Refinancing Debt thereof.”</w:t>
      </w:r>
    </w:p>
    <w:p>
      <w:pPr>
        <w:spacing w:after="0" w:line="145" w:lineRule="exact"/>
        <w:rPr>
          <w:sz w:val="20"/>
          <w:szCs w:val="20"/>
          <w:color w:val="auto"/>
        </w:rPr>
      </w:pPr>
    </w:p>
    <w:p>
      <w:pPr>
        <w:ind w:firstLine="9"/>
        <w:spacing w:after="0" w:line="276" w:lineRule="auto"/>
        <w:tabs>
          <w:tab w:leader="none" w:pos="302"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modifying the definition of “Permitted Investments” by (1) deleting the “and” at the end of clause (o) thereof, (2) inserting an “and” at the end of clause (p) thereof and (3) inserting a new clause (q) at the of the definition of “Permitted Investments” as follows:</w:t>
      </w:r>
    </w:p>
    <w:p>
      <w:pPr>
        <w:spacing w:after="0" w:line="1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color w:val="auto"/>
        </w:rPr>
        <w:t>“(q) to the extent constituting an Investment, the HC2B Transactions.”</w:t>
      </w:r>
    </w:p>
    <w:p>
      <w:pPr>
        <w:spacing w:after="0" w:line="208" w:lineRule="exact"/>
        <w:rPr>
          <w:sz w:val="20"/>
          <w:szCs w:val="20"/>
          <w:color w:val="auto"/>
        </w:rPr>
      </w:pPr>
    </w:p>
    <w:p>
      <w:pPr>
        <w:ind w:left="240" w:hanging="231"/>
        <w:spacing w:after="0"/>
        <w:tabs>
          <w:tab w:leader="none" w:pos="2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modifying the definition of “Disposition” by inserting a new sentence at the end of such definition as follows:</w:t>
      </w:r>
    </w:p>
    <w:p>
      <w:pPr>
        <w:spacing w:after="0" w:line="175" w:lineRule="exact"/>
        <w:rPr>
          <w:rFonts w:ascii="Times New Roman" w:cs="Times New Roman" w:eastAsia="Times New Roman" w:hAnsi="Times New Roman"/>
          <w:sz w:val="17"/>
          <w:szCs w:val="17"/>
          <w:color w:val="auto"/>
        </w:rPr>
      </w:pPr>
    </w:p>
    <w:p>
      <w:pPr>
        <w:ind w:left="260"/>
        <w:spacing w:after="0" w:line="27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avoidance of doubt, any transfer of Equity Interests held by any Subsidiary of the Borrower in New HC2 HoldCo shall constitute a Disposition hereunder.”</w:t>
      </w:r>
    </w:p>
    <w:p>
      <w:pPr>
        <w:sectPr>
          <w:pgSz w:w="11900" w:h="16838" w:orient="portrait"/>
          <w:cols w:equalWidth="0" w:num="1">
            <w:col w:w="10520"/>
          </w:cols>
          <w:pgMar w:left="1060" w:top="1116" w:right="319" w:bottom="1440" w:gutter="0" w:footer="0" w:header="0"/>
        </w:sectPr>
      </w:pPr>
    </w:p>
    <w:bookmarkStart w:id="203" w:name="page204"/>
    <w:bookmarkEnd w:id="203"/>
    <w:p>
      <w:pPr>
        <w:ind w:left="760" w:hanging="246"/>
        <w:spacing w:after="0" w:line="276" w:lineRule="auto"/>
        <w:tabs>
          <w:tab w:leader="none" w:pos="753"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7.03(b) of the Credit Agreement shall be amended by (1) deleting the “and” at the end of clause (xxi) thereof, (2) inserting an “and” at the end of clause (xxii) thereof and (3) inserting a new clause (xxiii) at the end of Section 7.03(b) as follows:</w:t>
      </w:r>
    </w:p>
    <w:p>
      <w:pPr>
        <w:spacing w:after="0" w:line="14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“(xxiii) Indebtedness Incurred pursuant to the CONX Loan Agreement and Permitted Refinancing Debt thereof.”</w:t>
      </w:r>
    </w:p>
    <w:p>
      <w:pPr>
        <w:spacing w:after="0" w:line="17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7"/>
          <w:szCs w:val="17"/>
          <w:color w:val="auto"/>
        </w:rPr>
        <w:t>ARTICLE 3.</w:t>
      </w:r>
    </w:p>
    <w:p>
      <w:pPr>
        <w:spacing w:after="0" w:line="24"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7"/>
          <w:szCs w:val="17"/>
          <w:color w:val="auto"/>
        </w:rPr>
        <w:t>CONSENT AND WAIVER</w:t>
      </w:r>
    </w:p>
    <w:p>
      <w:pPr>
        <w:spacing w:after="0" w:line="165" w:lineRule="exact"/>
        <w:rPr>
          <w:sz w:val="20"/>
          <w:szCs w:val="20"/>
          <w:color w:val="auto"/>
        </w:rPr>
      </w:pPr>
    </w:p>
    <w:p>
      <w:pPr>
        <w:jc w:val="center"/>
        <w:ind w:right="-59"/>
        <w:spacing w:after="0"/>
        <w:tabs>
          <w:tab w:leader="none" w:pos="160" w:val="left"/>
        </w:tabs>
        <w:rPr>
          <w:sz w:val="20"/>
          <w:szCs w:val="20"/>
          <w:color w:val="auto"/>
        </w:rPr>
      </w:pPr>
      <w:r>
        <w:rPr>
          <w:rFonts w:ascii="Times New Roman" w:cs="Times New Roman" w:eastAsia="Times New Roman" w:hAnsi="Times New Roman"/>
          <w:sz w:val="17"/>
          <w:szCs w:val="17"/>
          <w:color w:val="auto"/>
        </w:rPr>
        <w:t>Section 3.01</w:t>
      </w:r>
      <w:r>
        <w:rPr>
          <w:sz w:val="20"/>
          <w:szCs w:val="20"/>
          <w:color w:val="auto"/>
        </w:rPr>
        <w:tab/>
      </w:r>
      <w:r>
        <w:rPr>
          <w:rFonts w:ascii="Times New Roman" w:cs="Times New Roman" w:eastAsia="Times New Roman" w:hAnsi="Times New Roman"/>
          <w:sz w:val="16"/>
          <w:szCs w:val="16"/>
          <w:i w:val="1"/>
          <w:iCs w:val="1"/>
          <w:color w:val="auto"/>
        </w:rPr>
        <w:t>Consent</w:t>
      </w:r>
      <w:r>
        <w:rPr>
          <w:rFonts w:ascii="Times New Roman" w:cs="Times New Roman" w:eastAsia="Times New Roman" w:hAnsi="Times New Roman"/>
          <w:sz w:val="16"/>
          <w:szCs w:val="16"/>
          <w:color w:val="auto"/>
        </w:rPr>
        <w:t>. Any and all of the transactions relating to or contemplated by the HC2B Transactions are hereby irrevocably consented to in all respects.</w:t>
      </w:r>
    </w:p>
    <w:p>
      <w:pPr>
        <w:spacing w:after="0" w:line="176" w:lineRule="exact"/>
        <w:rPr>
          <w:sz w:val="20"/>
          <w:szCs w:val="20"/>
          <w:color w:val="auto"/>
        </w:rPr>
      </w:pPr>
    </w:p>
    <w:p>
      <w:pPr>
        <w:ind w:firstLine="191"/>
        <w:spacing w:after="0" w:line="281" w:lineRule="auto"/>
        <w:rPr>
          <w:sz w:val="20"/>
          <w:szCs w:val="20"/>
          <w:color w:val="auto"/>
        </w:rPr>
      </w:pPr>
      <w:r>
        <w:rPr>
          <w:rFonts w:ascii="Times New Roman" w:cs="Times New Roman" w:eastAsia="Times New Roman" w:hAnsi="Times New Roman"/>
          <w:sz w:val="17"/>
          <w:szCs w:val="17"/>
          <w:color w:val="auto"/>
        </w:rPr>
        <w:t xml:space="preserve">Section 3.02 </w:t>
      </w:r>
      <w:r>
        <w:rPr>
          <w:rFonts w:ascii="Times New Roman" w:cs="Times New Roman" w:eastAsia="Times New Roman" w:hAnsi="Times New Roman"/>
          <w:sz w:val="17"/>
          <w:szCs w:val="17"/>
          <w:i w:val="1"/>
          <w:iCs w:val="1"/>
          <w:color w:val="auto"/>
        </w:rPr>
        <w:t>Waiver of Defaults</w:t>
      </w:r>
      <w:r>
        <w:rPr>
          <w:rFonts w:ascii="Times New Roman" w:cs="Times New Roman" w:eastAsia="Times New Roman" w:hAnsi="Times New Roman"/>
          <w:sz w:val="17"/>
          <w:szCs w:val="17"/>
          <w:color w:val="auto"/>
        </w:rPr>
        <w:t>. Any and all Defaults, Events of Default or other defaults that may have occurred, or that may arise under the Credit Agreement, directly or indirectly, as a result of the HC2B Transactions are hereby irrevocably waived in all respects.</w:t>
      </w:r>
    </w:p>
    <w:p>
      <w:pPr>
        <w:spacing w:after="0" w:line="119"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7"/>
          <w:szCs w:val="17"/>
          <w:color w:val="auto"/>
        </w:rPr>
        <w:t>ARTICLE 4.</w:t>
      </w:r>
    </w:p>
    <w:p>
      <w:pPr>
        <w:spacing w:after="0" w:line="24"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7"/>
          <w:szCs w:val="17"/>
          <w:color w:val="auto"/>
        </w:rPr>
        <w:t>CONDITIONS PRECEDENT</w:t>
      </w:r>
    </w:p>
    <w:p>
      <w:pPr>
        <w:spacing w:after="0" w:line="165" w:lineRule="exact"/>
        <w:rPr>
          <w:sz w:val="20"/>
          <w:szCs w:val="20"/>
          <w:color w:val="auto"/>
        </w:rPr>
      </w:pPr>
    </w:p>
    <w:p>
      <w:pPr>
        <w:ind w:right="140" w:firstLine="191"/>
        <w:spacing w:after="0" w:line="281" w:lineRule="auto"/>
        <w:rPr>
          <w:sz w:val="20"/>
          <w:szCs w:val="20"/>
          <w:color w:val="auto"/>
        </w:rPr>
      </w:pPr>
      <w:r>
        <w:rPr>
          <w:rFonts w:ascii="Times New Roman" w:cs="Times New Roman" w:eastAsia="Times New Roman" w:hAnsi="Times New Roman"/>
          <w:sz w:val="17"/>
          <w:szCs w:val="17"/>
          <w:color w:val="auto"/>
        </w:rPr>
        <w:t xml:space="preserve">Section 4.01 </w:t>
      </w:r>
      <w:r>
        <w:rPr>
          <w:rFonts w:ascii="Times New Roman" w:cs="Times New Roman" w:eastAsia="Times New Roman" w:hAnsi="Times New Roman"/>
          <w:sz w:val="17"/>
          <w:szCs w:val="17"/>
          <w:i w:val="1"/>
          <w:iCs w:val="1"/>
          <w:color w:val="auto"/>
        </w:rPr>
        <w:t>Effective Date Conditions</w:t>
      </w:r>
      <w:r>
        <w:rPr>
          <w:rFonts w:ascii="Times New Roman" w:cs="Times New Roman" w:eastAsia="Times New Roman" w:hAnsi="Times New Roman"/>
          <w:sz w:val="17"/>
          <w:szCs w:val="17"/>
          <w:color w:val="auto"/>
        </w:rPr>
        <w:t>. This Amendment shall be effective as of the date (the “</w:t>
      </w:r>
      <w:r>
        <w:rPr>
          <w:rFonts w:ascii="Times New Roman" w:cs="Times New Roman" w:eastAsia="Times New Roman" w:hAnsi="Times New Roman"/>
          <w:sz w:val="17"/>
          <w:szCs w:val="17"/>
          <w:i w:val="1"/>
          <w:iCs w:val="1"/>
          <w:color w:val="auto"/>
        </w:rPr>
        <w:t>Effective Date</w:t>
      </w:r>
      <w:r>
        <w:rPr>
          <w:rFonts w:ascii="Times New Roman" w:cs="Times New Roman" w:eastAsia="Times New Roman" w:hAnsi="Times New Roman"/>
          <w:sz w:val="17"/>
          <w:szCs w:val="17"/>
          <w:color w:val="auto"/>
        </w:rPr>
        <w:t>”) when all of the following conditions have been fulfilled to the satisfaction of (and in form and substance reasonably satisfactory to) the Lender:</w:t>
      </w:r>
    </w:p>
    <w:p>
      <w:pPr>
        <w:spacing w:after="0" w:line="119" w:lineRule="exact"/>
        <w:rPr>
          <w:sz w:val="20"/>
          <w:szCs w:val="20"/>
          <w:color w:val="auto"/>
        </w:rPr>
      </w:pPr>
    </w:p>
    <w:p>
      <w:pPr>
        <w:ind w:left="520" w:firstLine="503"/>
        <w:spacing w:after="0" w:line="276" w:lineRule="auto"/>
        <w:tabs>
          <w:tab w:leader="none" w:pos="153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Lender shall have received counterparts to this Amendment, duly executed by the Borrower and each Guarantor, each of which shall be originals or electronic image scan transmissions unless otherwise specified; and</w:t>
      </w:r>
    </w:p>
    <w:p>
      <w:pPr>
        <w:spacing w:after="0" w:line="144" w:lineRule="exact"/>
        <w:rPr>
          <w:rFonts w:ascii="Times New Roman" w:cs="Times New Roman" w:eastAsia="Times New Roman" w:hAnsi="Times New Roman"/>
          <w:sz w:val="17"/>
          <w:szCs w:val="17"/>
          <w:color w:val="auto"/>
        </w:rPr>
      </w:pPr>
    </w:p>
    <w:p>
      <w:pPr>
        <w:ind w:left="1520" w:hanging="497"/>
        <w:spacing w:after="0"/>
        <w:tabs>
          <w:tab w:leader="none" w:pos="15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Lender shall have received a copy of Schedule 1 to the Pledge Agreement, updated on a pro forma basis after giving effect to the HC2B</w:t>
      </w:r>
    </w:p>
    <w:p>
      <w:pPr>
        <w:spacing w:after="0" w:line="23" w:lineRule="exact"/>
        <w:rPr>
          <w:rFonts w:ascii="Times New Roman" w:cs="Times New Roman" w:eastAsia="Times New Roman" w:hAnsi="Times New Roman"/>
          <w:sz w:val="17"/>
          <w:szCs w:val="17"/>
          <w:color w:val="auto"/>
        </w:rPr>
      </w:pPr>
    </w:p>
    <w:p>
      <w:pPr>
        <w:ind w:left="5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Transactions.</w:t>
      </w:r>
    </w:p>
    <w:p>
      <w:pPr>
        <w:spacing w:after="0" w:line="169"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7"/>
          <w:szCs w:val="17"/>
          <w:color w:val="auto"/>
        </w:rPr>
        <w:t>ARTICLE 5.</w:t>
      </w:r>
    </w:p>
    <w:p>
      <w:pPr>
        <w:spacing w:after="0" w:line="24"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7"/>
          <w:szCs w:val="17"/>
          <w:color w:val="auto"/>
        </w:rPr>
        <w:t>REPRESENTATIONS AND WARRANTIES</w:t>
      </w:r>
    </w:p>
    <w:p>
      <w:pPr>
        <w:spacing w:after="0" w:line="154" w:lineRule="exact"/>
        <w:rPr>
          <w:sz w:val="20"/>
          <w:szCs w:val="20"/>
          <w:color w:val="auto"/>
        </w:rPr>
      </w:pPr>
    </w:p>
    <w:p>
      <w:pPr>
        <w:ind w:left="200"/>
        <w:spacing w:after="0"/>
        <w:tabs>
          <w:tab w:leader="none" w:pos="1200" w:val="left"/>
        </w:tabs>
        <w:rPr>
          <w:sz w:val="20"/>
          <w:szCs w:val="20"/>
          <w:color w:val="auto"/>
        </w:rPr>
      </w:pPr>
      <w:r>
        <w:rPr>
          <w:rFonts w:ascii="Times New Roman" w:cs="Times New Roman" w:eastAsia="Times New Roman" w:hAnsi="Times New Roman"/>
          <w:sz w:val="17"/>
          <w:szCs w:val="17"/>
          <w:color w:val="auto"/>
        </w:rPr>
        <w:t>Section 5.01</w:t>
      </w:r>
      <w:r>
        <w:rPr>
          <w:sz w:val="20"/>
          <w:szCs w:val="20"/>
          <w:color w:val="auto"/>
        </w:rPr>
        <w:tab/>
      </w:r>
      <w:r>
        <w:rPr>
          <w:rFonts w:ascii="Times New Roman" w:cs="Times New Roman" w:eastAsia="Times New Roman" w:hAnsi="Times New Roman"/>
          <w:sz w:val="16"/>
          <w:szCs w:val="16"/>
          <w:i w:val="1"/>
          <w:iCs w:val="1"/>
          <w:color w:val="auto"/>
        </w:rPr>
        <w:t>Representations and Warranties</w:t>
      </w:r>
      <w:r>
        <w:rPr>
          <w:rFonts w:ascii="Times New Roman" w:cs="Times New Roman" w:eastAsia="Times New Roman" w:hAnsi="Times New Roman"/>
          <w:sz w:val="16"/>
          <w:szCs w:val="16"/>
          <w:color w:val="auto"/>
        </w:rPr>
        <w:t>. On the Effective Date, each Loan Party hereby represents and warrants to the Lender as follows:</w:t>
      </w:r>
    </w:p>
    <w:p>
      <w:pPr>
        <w:spacing w:after="0" w:line="180" w:lineRule="exact"/>
        <w:rPr>
          <w:sz w:val="20"/>
          <w:szCs w:val="20"/>
          <w:color w:val="auto"/>
        </w:rPr>
      </w:pPr>
    </w:p>
    <w:p>
      <w:pPr>
        <w:jc w:val="both"/>
        <w:ind w:left="520" w:firstLine="503"/>
        <w:spacing w:after="0" w:line="255" w:lineRule="auto"/>
        <w:tabs>
          <w:tab w:leader="none" w:pos="153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Loan Party (i) is duly incorporated, organized or formed, validly existing and, as applicable, in good standing under the Laws of the jurisdiction of its incorporation or organization, (ii) has all requisite power and authority and all requisite governmental licenses, authorizations, consents and approvals to (A) own or lease its assets and carry on its business and (B) execute, deliver and perform its obligations hereunder and under the Amended Credit Agreement, and (iii) is duly qualified and is licensed and, as applicable, in good standing under the Laws of each jurisdiction where its ownership, lease or operation of properties or the conduct of its business requires such qualification or license; except in each case referred to in clause (ii)(A) or (iii), to the extent that failure to do so could not reasonably be expected to have a Material Adverse Effect;</w:t>
      </w:r>
    </w:p>
    <w:p>
      <w:pPr>
        <w:sectPr>
          <w:pgSz w:w="11900" w:h="16838" w:orient="portrait"/>
          <w:cols w:equalWidth="0" w:num="1">
            <w:col w:w="11280"/>
          </w:cols>
          <w:pgMar w:left="300" w:top="946" w:right="319" w:bottom="1440" w:gutter="0" w:footer="0" w:header="0"/>
        </w:sectPr>
      </w:pPr>
    </w:p>
    <w:bookmarkStart w:id="204" w:name="page205"/>
    <w:bookmarkEnd w:id="204"/>
    <w:p>
      <w:pPr>
        <w:jc w:val="both"/>
        <w:ind w:left="-503" w:firstLine="503"/>
        <w:spacing w:after="0" w:line="254" w:lineRule="auto"/>
        <w:tabs>
          <w:tab w:leader="none" w:pos="511"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execution, delivery and performance by such Loan Party of this Amendment and the Amended Credit Agreement have been duly authorized by all necessary corporate or other organizational action by such Loan Party, and do not and will not (i) contravene the terms of any of such Loan Party’s Organization Documents; (ii) conflict with or result in any breach or contravention of, or the creation of any Lien under, or require any payment to be made under (A) any Contractual Obligation to which such Person is a party or affecting such Person or the properties of such Person or any of its Subsidiaries or (B) any order, injunction, writ or decree of any Governmental Authority or any arbitral award to which such Person or its property is subject; or (iii) violate any Law; except in each case referred to in clause (ii) or (iii), to the extent that failure to do so could not reasonably be expected to have a Material Adverse Effect;</w:t>
      </w:r>
    </w:p>
    <w:p>
      <w:pPr>
        <w:spacing w:after="0" w:line="164" w:lineRule="exact"/>
        <w:rPr>
          <w:rFonts w:ascii="Times New Roman" w:cs="Times New Roman" w:eastAsia="Times New Roman" w:hAnsi="Times New Roman"/>
          <w:sz w:val="17"/>
          <w:szCs w:val="17"/>
          <w:color w:val="auto"/>
        </w:rPr>
      </w:pPr>
    </w:p>
    <w:p>
      <w:pPr>
        <w:jc w:val="both"/>
        <w:ind w:left="-503" w:firstLine="503"/>
        <w:spacing w:after="0" w:line="258" w:lineRule="auto"/>
        <w:tabs>
          <w:tab w:leader="none" w:pos="512"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approval, consent, exemption, authorization, or other action by, or notice to, or filing with, any Governmental Authority or any other Person is necessary or required in connection with the execution, delivery or performance by, or enforcement against, any Loan Party of this Amendment or the Credit Agreement, except such (i) those that have been made and are in full force and effect, (ii) those contemplated by the Security Documents and (iii) those the failure of which to obtain or make such consent, approval, authorization, order, filing or registration would not, individually or in the aggregate, reasonably be expected to have a Material Adverse Effect;</w:t>
      </w:r>
    </w:p>
    <w:p>
      <w:pPr>
        <w:spacing w:after="0" w:line="158" w:lineRule="exact"/>
        <w:rPr>
          <w:rFonts w:ascii="Times New Roman" w:cs="Times New Roman" w:eastAsia="Times New Roman" w:hAnsi="Times New Roman"/>
          <w:sz w:val="17"/>
          <w:szCs w:val="17"/>
          <w:color w:val="auto"/>
        </w:rPr>
      </w:pPr>
    </w:p>
    <w:p>
      <w:pPr>
        <w:jc w:val="both"/>
        <w:ind w:left="-503" w:firstLine="503"/>
        <w:spacing w:after="0" w:line="258" w:lineRule="auto"/>
        <w:tabs>
          <w:tab w:leader="none" w:pos="511"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Amendment has been duly executed and delivered by such Loan Party, and this Amendment and the Amended Credit Agreement constitute legal, valid and binding obligations of such Loan Party, enforceable against such Loan Party in accordance with its terms, except that the enforcement thereof may be subject to (i) bankruptcy, insolvency, reorganization, receivership, moratorium, fraudulent conveyance, fraudulent transfer or other similar laws now or hereafter in effect relating to creditors’ rights generally and (ii) general principles of equity (whether applied by a court of law or equity) and the discretion of the court before which any proceeding therefor may be brought;</w:t>
      </w:r>
    </w:p>
    <w:p>
      <w:pPr>
        <w:spacing w:after="0" w:line="158" w:lineRule="exact"/>
        <w:rPr>
          <w:rFonts w:ascii="Times New Roman" w:cs="Times New Roman" w:eastAsia="Times New Roman" w:hAnsi="Times New Roman"/>
          <w:sz w:val="17"/>
          <w:szCs w:val="17"/>
          <w:color w:val="auto"/>
        </w:rPr>
      </w:pPr>
    </w:p>
    <w:p>
      <w:pPr>
        <w:jc w:val="both"/>
        <w:ind w:left="-503" w:firstLine="503"/>
        <w:spacing w:after="0" w:line="258" w:lineRule="auto"/>
        <w:tabs>
          <w:tab w:leader="none" w:pos="512"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Obligations (i) constitute, and, after giving effect to any repayment and reborrowing of Loans under the Credit Agreement, will continue to constitute (A) “First-Out Debt”, “First-Out Obligations” and “Pari Passu Obligations” under and as defined in the Secured Indentures, (B) “First-Out Debt”, “First-Out Obligations”, “Obligations”, “Pari Passu Debt” and “Pari Passu Obligations” under and as defined in the Collateral Trust Agreement, and (C) “Secured Obligations” under and as defined in the Pledge Agreement and (ii) are entitled to the benefits of the Collateral Trust Agreement, the Pledge Agreement and the other Security Documents; and</w:t>
      </w:r>
    </w:p>
    <w:p>
      <w:pPr>
        <w:spacing w:after="0" w:line="158" w:lineRule="exact"/>
        <w:rPr>
          <w:rFonts w:ascii="Times New Roman" w:cs="Times New Roman" w:eastAsia="Times New Roman" w:hAnsi="Times New Roman"/>
          <w:sz w:val="17"/>
          <w:szCs w:val="17"/>
          <w:color w:val="auto"/>
        </w:rPr>
      </w:pPr>
    </w:p>
    <w:p>
      <w:pPr>
        <w:jc w:val="both"/>
        <w:ind w:left="-503" w:firstLine="503"/>
        <w:spacing w:after="0" w:line="255" w:lineRule="auto"/>
        <w:tabs>
          <w:tab w:leader="none" w:pos="515"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representations and warranties of such Loan Party contained herein and in each other Loan Document are true and correct in all material respects on and as of the Effective Date (provided that any representation or warranty that is subject to any materiality qualifier shall be true and correct in all respects as of the Effective Date), in each case, except to the extent that such representation or warranty specifically refers to an earlier date, in which case it is true and correct in all material respects as of such earlier date (provided that any representation or warranty that is subject to any materiality qualifier shall be true and correct in all respects as of such earlier date), and except that for purposes of this clause (f), the representations and warranties contained in Section 5.05(a) of the Amended Credit Agreement</w:t>
      </w:r>
    </w:p>
    <w:p>
      <w:pPr>
        <w:sectPr>
          <w:pgSz w:w="11900" w:h="16838" w:orient="portrait"/>
          <w:cols w:equalWidth="0" w:num="1">
            <w:col w:w="10257"/>
          </w:cols>
          <w:pgMar w:left="1323" w:top="946" w:right="319" w:bottom="1440" w:gutter="0" w:footer="0" w:header="0"/>
        </w:sectPr>
      </w:pPr>
    </w:p>
    <w:bookmarkStart w:id="205" w:name="page206"/>
    <w:bookmarkEnd w:id="205"/>
    <w:p>
      <w:pPr>
        <w:ind w:left="520"/>
        <w:spacing w:after="0"/>
        <w:rPr>
          <w:sz w:val="20"/>
          <w:szCs w:val="20"/>
          <w:color w:val="auto"/>
        </w:rPr>
      </w:pPr>
      <w:r>
        <w:rPr>
          <w:rFonts w:ascii="Times New Roman" w:cs="Times New Roman" w:eastAsia="Times New Roman" w:hAnsi="Times New Roman"/>
          <w:sz w:val="17"/>
          <w:szCs w:val="17"/>
          <w:color w:val="auto"/>
        </w:rPr>
        <w:t>shall be deemed to refer to the most recent statements furnished pursuant to Section 6.01(a) of the Credit Agreement.</w:t>
      </w:r>
    </w:p>
    <w:p>
      <w:pPr>
        <w:spacing w:after="0" w:line="17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7"/>
          <w:szCs w:val="17"/>
          <w:color w:val="auto"/>
        </w:rPr>
        <w:t>ARTICLE 6.</w:t>
      </w:r>
    </w:p>
    <w:p>
      <w:pPr>
        <w:spacing w:after="0" w:line="24"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7"/>
          <w:szCs w:val="17"/>
          <w:color w:val="auto"/>
        </w:rPr>
        <w:t>MISCELLANEOUS</w:t>
      </w:r>
    </w:p>
    <w:p>
      <w:pPr>
        <w:spacing w:after="0" w:line="154" w:lineRule="exact"/>
        <w:rPr>
          <w:sz w:val="20"/>
          <w:szCs w:val="20"/>
          <w:color w:val="auto"/>
        </w:rPr>
      </w:pPr>
    </w:p>
    <w:p>
      <w:pPr>
        <w:jc w:val="both"/>
        <w:ind w:firstLine="191"/>
        <w:spacing w:after="0" w:line="252" w:lineRule="auto"/>
        <w:rPr>
          <w:sz w:val="20"/>
          <w:szCs w:val="20"/>
          <w:color w:val="auto"/>
        </w:rPr>
      </w:pPr>
      <w:r>
        <w:rPr>
          <w:rFonts w:ascii="Times New Roman" w:cs="Times New Roman" w:eastAsia="Times New Roman" w:hAnsi="Times New Roman"/>
          <w:sz w:val="17"/>
          <w:szCs w:val="17"/>
          <w:color w:val="auto"/>
        </w:rPr>
        <w:t xml:space="preserve">Section 6.01 </w:t>
      </w:r>
      <w:r>
        <w:rPr>
          <w:rFonts w:ascii="Times New Roman" w:cs="Times New Roman" w:eastAsia="Times New Roman" w:hAnsi="Times New Roman"/>
          <w:sz w:val="17"/>
          <w:szCs w:val="17"/>
          <w:i w:val="1"/>
          <w:iCs w:val="1"/>
          <w:color w:val="auto"/>
        </w:rPr>
        <w:t>Governing Law; Waiver of Jury Trial</w:t>
      </w:r>
      <w:r>
        <w:rPr>
          <w:rFonts w:ascii="Times New Roman" w:cs="Times New Roman" w:eastAsia="Times New Roman" w:hAnsi="Times New Roman"/>
          <w:sz w:val="17"/>
          <w:szCs w:val="17"/>
          <w:color w:val="auto"/>
        </w:rPr>
        <w:t xml:space="preserve">. THE INTERNAL LAW OF THE STATE OF NEW YORK WILL GOVERN AND BE USED TO CONSTRUE THIS AMENDMENT WITHOUT GIVING EFFECT TO APPLICABLE PRINCIPLES OF CONFLICTS OF LAW TO THE EXTENT THAT THE APPLICATION OF THE LAWS OF ANOTHER JURISDICTION WOULD BE REQUIRED THEREBY. SECTIONS 10.13(B), (C) AND (D) OF THE AMENDED CREDIT AGREEMENT ARE HEREBY INCORPORATED BY REFERENCE INTO THIS AMENDMENT </w:t>
      </w:r>
      <w:r>
        <w:rPr>
          <w:rFonts w:ascii="Times New Roman" w:cs="Times New Roman" w:eastAsia="Times New Roman" w:hAnsi="Times New Roman"/>
          <w:sz w:val="17"/>
          <w:szCs w:val="17"/>
          <w:i w:val="1"/>
          <w:iCs w:val="1"/>
          <w:color w:val="auto"/>
        </w:rPr>
        <w:t>MUTATIS MUTANDIS</w:t>
      </w:r>
      <w:r>
        <w:rPr>
          <w:rFonts w:ascii="Times New Roman" w:cs="Times New Roman" w:eastAsia="Times New Roman" w:hAnsi="Times New Roman"/>
          <w:sz w:val="17"/>
          <w:szCs w:val="17"/>
          <w:color w:val="auto"/>
        </w:rPr>
        <w:t xml:space="preserve"> AND SHALL APPLY HERETO. EACH PARTY HERETO HEREBY IRREVOCABLY WAIVES, TO THE FULLEST EXTENT PERMITTED BY APPLICABLE LAW, ANY RIGHT IT MAY HAVE TO A TRIAL BY JURY IN ANY LEGAL PROCEEDING DIRECTLY OR INDIRECTLY ARISING OUT OF OR RELATING TO THIS AMENDMENT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AMENDMENT AND THE OTHER LOAN DOCUMENTS BY, AMONG OTHER THINGS, THE MUTUAL WAIVERS AND CERTIFICATIONS IN THIS SECTION.</w:t>
      </w:r>
    </w:p>
    <w:p>
      <w:pPr>
        <w:spacing w:after="0" w:line="158" w:lineRule="exact"/>
        <w:rPr>
          <w:sz w:val="20"/>
          <w:szCs w:val="20"/>
          <w:color w:val="auto"/>
        </w:rPr>
      </w:pPr>
    </w:p>
    <w:p>
      <w:pPr>
        <w:jc w:val="both"/>
        <w:ind w:firstLine="191"/>
        <w:spacing w:after="0" w:line="281" w:lineRule="auto"/>
        <w:rPr>
          <w:sz w:val="20"/>
          <w:szCs w:val="20"/>
          <w:color w:val="auto"/>
        </w:rPr>
      </w:pPr>
      <w:r>
        <w:rPr>
          <w:rFonts w:ascii="Times New Roman" w:cs="Times New Roman" w:eastAsia="Times New Roman" w:hAnsi="Times New Roman"/>
          <w:sz w:val="17"/>
          <w:szCs w:val="17"/>
          <w:color w:val="auto"/>
        </w:rPr>
        <w:t xml:space="preserve">Section 6.02 </w:t>
      </w:r>
      <w:r>
        <w:rPr>
          <w:rFonts w:ascii="Times New Roman" w:cs="Times New Roman" w:eastAsia="Times New Roman" w:hAnsi="Times New Roman"/>
          <w:sz w:val="17"/>
          <w:szCs w:val="17"/>
          <w:i w:val="1"/>
          <w:iCs w:val="1"/>
          <w:color w:val="auto"/>
        </w:rPr>
        <w:t>Severability</w:t>
      </w:r>
      <w:r>
        <w:rPr>
          <w:rFonts w:ascii="Times New Roman" w:cs="Times New Roman" w:eastAsia="Times New Roman" w:hAnsi="Times New Roman"/>
          <w:sz w:val="17"/>
          <w:szCs w:val="17"/>
          <w:color w:val="auto"/>
        </w:rPr>
        <w:t>. In case any provision in this Amendment is invalid, illegal or unenforceable, the validity, legality and enforceability of the remaining provisions will not in any way be affected or impaired thereby.</w:t>
      </w:r>
    </w:p>
    <w:p>
      <w:pPr>
        <w:spacing w:after="0" w:line="115" w:lineRule="exact"/>
        <w:rPr>
          <w:sz w:val="20"/>
          <w:szCs w:val="20"/>
          <w:color w:val="auto"/>
        </w:rPr>
      </w:pPr>
    </w:p>
    <w:p>
      <w:pPr>
        <w:jc w:val="both"/>
        <w:ind w:firstLine="191"/>
        <w:spacing w:after="0" w:line="264" w:lineRule="auto"/>
        <w:rPr>
          <w:sz w:val="20"/>
          <w:szCs w:val="20"/>
          <w:color w:val="auto"/>
        </w:rPr>
      </w:pPr>
      <w:r>
        <w:rPr>
          <w:rFonts w:ascii="Times New Roman" w:cs="Times New Roman" w:eastAsia="Times New Roman" w:hAnsi="Times New Roman"/>
          <w:sz w:val="17"/>
          <w:szCs w:val="17"/>
          <w:color w:val="auto"/>
        </w:rPr>
        <w:t xml:space="preserve">Section 6.03 </w:t>
      </w:r>
      <w:r>
        <w:rPr>
          <w:rFonts w:ascii="Times New Roman" w:cs="Times New Roman" w:eastAsia="Times New Roman" w:hAnsi="Times New Roman"/>
          <w:sz w:val="17"/>
          <w:szCs w:val="17"/>
          <w:i w:val="1"/>
          <w:iCs w:val="1"/>
          <w:color w:val="auto"/>
        </w:rPr>
        <w:t>Counterpart Originals</w:t>
      </w:r>
      <w:r>
        <w:rPr>
          <w:rFonts w:ascii="Times New Roman" w:cs="Times New Roman" w:eastAsia="Times New Roman" w:hAnsi="Times New Roman"/>
          <w:sz w:val="17"/>
          <w:szCs w:val="17"/>
          <w:color w:val="auto"/>
        </w:rPr>
        <w:t>. The parties may sign any number of copies of this Amendment. Each signed copy will be an original, but all of them together represent the same agreement. The exchange of copies of this Amendment and of signature pages by facsimile or PDF transmission shall constitute effective execution and delivery of this Amendment as to the parties hereto and may be used in lieu of the original Amendment and signature pages for all purposes.</w:t>
      </w:r>
    </w:p>
    <w:p>
      <w:pPr>
        <w:spacing w:after="0" w:line="140" w:lineRule="exact"/>
        <w:rPr>
          <w:sz w:val="20"/>
          <w:szCs w:val="20"/>
          <w:color w:val="auto"/>
        </w:rPr>
      </w:pPr>
    </w:p>
    <w:p>
      <w:pPr>
        <w:ind w:left="200"/>
        <w:spacing w:after="0"/>
        <w:tabs>
          <w:tab w:leader="none" w:pos="1200" w:val="left"/>
        </w:tabs>
        <w:rPr>
          <w:sz w:val="20"/>
          <w:szCs w:val="20"/>
          <w:color w:val="auto"/>
        </w:rPr>
      </w:pPr>
      <w:r>
        <w:rPr>
          <w:rFonts w:ascii="Times New Roman" w:cs="Times New Roman" w:eastAsia="Times New Roman" w:hAnsi="Times New Roman"/>
          <w:sz w:val="17"/>
          <w:szCs w:val="17"/>
          <w:color w:val="auto"/>
        </w:rPr>
        <w:t>Section 6.04</w:t>
      </w:r>
      <w:r>
        <w:rPr>
          <w:sz w:val="20"/>
          <w:szCs w:val="20"/>
          <w:color w:val="auto"/>
        </w:rPr>
        <w:tab/>
      </w:r>
      <w:r>
        <w:rPr>
          <w:rFonts w:ascii="Times New Roman" w:cs="Times New Roman" w:eastAsia="Times New Roman" w:hAnsi="Times New Roman"/>
          <w:sz w:val="16"/>
          <w:szCs w:val="16"/>
          <w:i w:val="1"/>
          <w:iCs w:val="1"/>
          <w:color w:val="auto"/>
        </w:rPr>
        <w:t>Effect of Headings</w:t>
      </w:r>
      <w:r>
        <w:rPr>
          <w:rFonts w:ascii="Times New Roman" w:cs="Times New Roman" w:eastAsia="Times New Roman" w:hAnsi="Times New Roman"/>
          <w:sz w:val="16"/>
          <w:szCs w:val="16"/>
          <w:color w:val="auto"/>
        </w:rPr>
        <w:t>. The Section headings herein are for convenience only and shall not affect the construction hereof.</w:t>
      </w:r>
    </w:p>
    <w:p>
      <w:pPr>
        <w:spacing w:after="0" w:line="176" w:lineRule="exact"/>
        <w:rPr>
          <w:sz w:val="20"/>
          <w:szCs w:val="20"/>
          <w:color w:val="auto"/>
        </w:rPr>
      </w:pPr>
    </w:p>
    <w:p>
      <w:pPr>
        <w:ind w:left="200"/>
        <w:spacing w:after="0"/>
        <w:tabs>
          <w:tab w:leader="none" w:pos="1200" w:val="left"/>
        </w:tabs>
        <w:rPr>
          <w:sz w:val="20"/>
          <w:szCs w:val="20"/>
          <w:color w:val="auto"/>
        </w:rPr>
      </w:pPr>
      <w:r>
        <w:rPr>
          <w:rFonts w:ascii="Times New Roman" w:cs="Times New Roman" w:eastAsia="Times New Roman" w:hAnsi="Times New Roman"/>
          <w:sz w:val="17"/>
          <w:szCs w:val="17"/>
          <w:color w:val="auto"/>
        </w:rPr>
        <w:t>Section 6.05</w:t>
      </w:r>
      <w:r>
        <w:rPr>
          <w:sz w:val="20"/>
          <w:szCs w:val="20"/>
          <w:color w:val="auto"/>
        </w:rPr>
        <w:tab/>
      </w:r>
      <w:r>
        <w:rPr>
          <w:rFonts w:ascii="Times New Roman" w:cs="Times New Roman" w:eastAsia="Times New Roman" w:hAnsi="Times New Roman"/>
          <w:sz w:val="16"/>
          <w:szCs w:val="16"/>
          <w:i w:val="1"/>
          <w:iCs w:val="1"/>
          <w:color w:val="auto"/>
        </w:rPr>
        <w:t>Reaffirmation</w:t>
      </w:r>
      <w:r>
        <w:rPr>
          <w:rFonts w:ascii="Times New Roman" w:cs="Times New Roman" w:eastAsia="Times New Roman" w:hAnsi="Times New Roman"/>
          <w:sz w:val="16"/>
          <w:szCs w:val="16"/>
          <w:color w:val="auto"/>
        </w:rPr>
        <w:t>.</w:t>
      </w:r>
    </w:p>
    <w:p>
      <w:pPr>
        <w:spacing w:after="0" w:line="180" w:lineRule="exact"/>
        <w:rPr>
          <w:sz w:val="20"/>
          <w:szCs w:val="20"/>
          <w:color w:val="auto"/>
        </w:rPr>
      </w:pPr>
    </w:p>
    <w:p>
      <w:pPr>
        <w:jc w:val="both"/>
        <w:ind w:left="520" w:firstLine="503"/>
        <w:spacing w:after="0" w:line="258" w:lineRule="auto"/>
        <w:tabs>
          <w:tab w:leader="none" w:pos="153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Borrower and each Guarantor hereby (i) ratifies and reaffirms all of its payment and performance obligations, contingent or otherwise, and each grant of security interests and Liens to the Collateral Trustee, for the benefit of the Secured Parties, under each Loan Document to which it is a party, (ii) agrees and acknowledges that such ratification and reaffirmation is not a condition to the continued effectiveness of such Loan Documents, (iii) agrees that neither such ratification and reaffirmation, nor the Lender’s solicitation of such ratification and reaffirmation, constitutes a course of dealing giving rise to any obligation or</w:t>
      </w:r>
    </w:p>
    <w:p>
      <w:pPr>
        <w:sectPr>
          <w:pgSz w:w="11900" w:h="16838" w:orient="portrait"/>
          <w:cols w:equalWidth="0" w:num="1">
            <w:col w:w="11280"/>
          </w:cols>
          <w:pgMar w:left="300" w:top="946" w:right="319" w:bottom="1440" w:gutter="0" w:footer="0" w:header="0"/>
        </w:sectPr>
      </w:pPr>
    </w:p>
    <w:bookmarkStart w:id="206" w:name="page207"/>
    <w:bookmarkEnd w:id="206"/>
    <w:p>
      <w:pPr>
        <w:jc w:val="both"/>
        <w:ind w:left="520"/>
        <w:spacing w:after="0" w:line="257" w:lineRule="auto"/>
        <w:rPr>
          <w:sz w:val="20"/>
          <w:szCs w:val="20"/>
          <w:color w:val="auto"/>
        </w:rPr>
      </w:pPr>
      <w:r>
        <w:rPr>
          <w:rFonts w:ascii="Times New Roman" w:cs="Times New Roman" w:eastAsia="Times New Roman" w:hAnsi="Times New Roman"/>
          <w:sz w:val="17"/>
          <w:szCs w:val="17"/>
          <w:color w:val="auto"/>
        </w:rPr>
        <w:t>condition requiring a similar or any other ratification or reaffirmation from such Loan Party with respect to any subsequent modifications to the Amended Credit Agreement or the other Loan Documents and (iv) agrees that none of the terms and conditions of this Amendment shall limit or diminish its payment and performance obligations, contingent or otherwise, under the Loan Documents to which it is a party. The Credit Agreement is in all respects ratified and confirmed. The parties hereto agree that each of the Loan Documents shall remain in full force and effect and is hereby ratified and confirmed.</w:t>
      </w:r>
    </w:p>
    <w:p>
      <w:pPr>
        <w:spacing w:after="0" w:line="171" w:lineRule="exact"/>
        <w:rPr>
          <w:sz w:val="20"/>
          <w:szCs w:val="20"/>
          <w:color w:val="auto"/>
        </w:rPr>
      </w:pPr>
    </w:p>
    <w:p>
      <w:pPr>
        <w:jc w:val="both"/>
        <w:ind w:left="520" w:firstLine="503"/>
        <w:spacing w:after="0" w:line="262" w:lineRule="auto"/>
        <w:tabs>
          <w:tab w:leader="none" w:pos="1535"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specifically set forth in Section 3.02 of this Amendment, the execution, delivery and performance of this Amendment shall not constitute a waiver of any provision of, or operate as a waiver of any right, power or remedy of the Lender under, the Credit Agreement or any of the other Loan Documents.</w:t>
      </w:r>
    </w:p>
    <w:p>
      <w:pPr>
        <w:spacing w:after="0" w:line="155" w:lineRule="exact"/>
        <w:rPr>
          <w:rFonts w:ascii="Times New Roman" w:cs="Times New Roman" w:eastAsia="Times New Roman" w:hAnsi="Times New Roman"/>
          <w:sz w:val="17"/>
          <w:szCs w:val="17"/>
          <w:color w:val="auto"/>
        </w:rPr>
      </w:pPr>
    </w:p>
    <w:p>
      <w:pPr>
        <w:jc w:val="both"/>
        <w:ind w:left="520" w:firstLine="503"/>
        <w:spacing w:after="0" w:line="262" w:lineRule="auto"/>
        <w:tabs>
          <w:tab w:leader="none" w:pos="153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and after the Effective Date, each reference in the Credit Agreement to “this Agreement”, “hereunder”, “hereof”, “herein” or words of like import referring to the Credit Agreement, and each reference in the other Loan Documents to the “Credit Agreement”, “thereunder”, “thereof” or words of like import referring to the Credit Agreement shall mean and be a reference to the Credit Agreement as amended by this Amendment.</w:t>
      </w:r>
    </w:p>
    <w:p>
      <w:pPr>
        <w:spacing w:after="0" w:line="141" w:lineRule="exact"/>
        <w:rPr>
          <w:sz w:val="20"/>
          <w:szCs w:val="20"/>
          <w:color w:val="auto"/>
        </w:rPr>
      </w:pPr>
    </w:p>
    <w:p>
      <w:pPr>
        <w:ind w:firstLine="191"/>
        <w:spacing w:after="0" w:line="281" w:lineRule="auto"/>
        <w:rPr>
          <w:sz w:val="20"/>
          <w:szCs w:val="20"/>
          <w:color w:val="auto"/>
        </w:rPr>
      </w:pPr>
      <w:r>
        <w:rPr>
          <w:rFonts w:ascii="Times New Roman" w:cs="Times New Roman" w:eastAsia="Times New Roman" w:hAnsi="Times New Roman"/>
          <w:sz w:val="17"/>
          <w:szCs w:val="17"/>
          <w:color w:val="auto"/>
        </w:rPr>
        <w:t xml:space="preserve">Section 6.06 </w:t>
      </w:r>
      <w:r>
        <w:rPr>
          <w:rFonts w:ascii="Times New Roman" w:cs="Times New Roman" w:eastAsia="Times New Roman" w:hAnsi="Times New Roman"/>
          <w:sz w:val="17"/>
          <w:szCs w:val="17"/>
          <w:i w:val="1"/>
          <w:iCs w:val="1"/>
          <w:color w:val="auto"/>
        </w:rPr>
        <w:t>Loan Document</w:t>
      </w:r>
      <w:r>
        <w:rPr>
          <w:rFonts w:ascii="Times New Roman" w:cs="Times New Roman" w:eastAsia="Times New Roman" w:hAnsi="Times New Roman"/>
          <w:sz w:val="17"/>
          <w:szCs w:val="17"/>
          <w:color w:val="auto"/>
        </w:rPr>
        <w:t>. On and after the Effective Date, this Amendment shall constitute a “Loan Document” for all purposes of the Credit Agreement and the other Loan Documents.</w:t>
      </w:r>
    </w:p>
    <w:p>
      <w:pPr>
        <w:spacing w:after="0" w:line="115" w:lineRule="exact"/>
        <w:rPr>
          <w:sz w:val="20"/>
          <w:szCs w:val="20"/>
          <w:color w:val="auto"/>
        </w:rPr>
      </w:pPr>
    </w:p>
    <w:p>
      <w:pPr>
        <w:ind w:left="200"/>
        <w:spacing w:after="0"/>
        <w:tabs>
          <w:tab w:leader="none" w:pos="1200" w:val="left"/>
        </w:tabs>
        <w:rPr>
          <w:sz w:val="20"/>
          <w:szCs w:val="20"/>
          <w:color w:val="auto"/>
        </w:rPr>
      </w:pPr>
      <w:r>
        <w:rPr>
          <w:rFonts w:ascii="Times New Roman" w:cs="Times New Roman" w:eastAsia="Times New Roman" w:hAnsi="Times New Roman"/>
          <w:sz w:val="17"/>
          <w:szCs w:val="17"/>
          <w:color w:val="auto"/>
        </w:rPr>
        <w:t>Section 6.07</w:t>
      </w:r>
      <w:r>
        <w:rPr>
          <w:sz w:val="20"/>
          <w:szCs w:val="20"/>
          <w:color w:val="auto"/>
        </w:rPr>
        <w:tab/>
      </w:r>
      <w:r>
        <w:rPr>
          <w:rFonts w:ascii="Times New Roman" w:cs="Times New Roman" w:eastAsia="Times New Roman" w:hAnsi="Times New Roman"/>
          <w:sz w:val="16"/>
          <w:szCs w:val="16"/>
          <w:i w:val="1"/>
          <w:iCs w:val="1"/>
          <w:color w:val="auto"/>
        </w:rPr>
        <w:t>Release</w:t>
      </w:r>
      <w:r>
        <w:rPr>
          <w:rFonts w:ascii="Times New Roman" w:cs="Times New Roman" w:eastAsia="Times New Roman" w:hAnsi="Times New Roman"/>
          <w:sz w:val="16"/>
          <w:szCs w:val="16"/>
          <w:color w:val="auto"/>
        </w:rPr>
        <w:t>.</w:t>
      </w:r>
    </w:p>
    <w:p>
      <w:pPr>
        <w:spacing w:after="0" w:line="180" w:lineRule="exact"/>
        <w:rPr>
          <w:sz w:val="20"/>
          <w:szCs w:val="20"/>
          <w:color w:val="auto"/>
        </w:rPr>
      </w:pPr>
    </w:p>
    <w:p>
      <w:pPr>
        <w:jc w:val="both"/>
        <w:ind w:left="520" w:firstLine="503"/>
        <w:spacing w:after="0" w:line="252" w:lineRule="auto"/>
        <w:tabs>
          <w:tab w:leader="none" w:pos="1536"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consideration of the agreements of the Lender contained herein and for other good and valuable consideration, the receipt and sufficiency of which is hereby acknowledged, each Loan Party, on behalf of itself and its successors, assigns, and other legal representatives, hereby absolutely, unconditionally and irrevocably releases, remises and forever discharges the Lender, its successors and assigns, and its direct and indirect owners, partners, members, managers, consultants, affiliates, subsidiaries, divisions, predecessors, directors, officers, attorneys, employees, agents and other representatives, and all persons acting by, through, under or in concert with any of them (the Lender and all such other Persons being hereinafter referred to collectively as the “</w:t>
      </w:r>
      <w:r>
        <w:rPr>
          <w:rFonts w:ascii="Times New Roman" w:cs="Times New Roman" w:eastAsia="Times New Roman" w:hAnsi="Times New Roman"/>
          <w:sz w:val="17"/>
          <w:szCs w:val="17"/>
          <w:i w:val="1"/>
          <w:iCs w:val="1"/>
          <w:color w:val="auto"/>
        </w:rPr>
        <w:t>Releasees</w:t>
      </w:r>
      <w:r>
        <w:rPr>
          <w:rFonts w:ascii="Times New Roman" w:cs="Times New Roman" w:eastAsia="Times New Roman" w:hAnsi="Times New Roman"/>
          <w:sz w:val="17"/>
          <w:szCs w:val="17"/>
          <w:color w:val="auto"/>
        </w:rPr>
        <w:t>” and individually as a “</w:t>
      </w:r>
      <w:r>
        <w:rPr>
          <w:rFonts w:ascii="Times New Roman" w:cs="Times New Roman" w:eastAsia="Times New Roman" w:hAnsi="Times New Roman"/>
          <w:sz w:val="17"/>
          <w:szCs w:val="17"/>
          <w:i w:val="1"/>
          <w:iCs w:val="1"/>
          <w:color w:val="auto"/>
        </w:rPr>
        <w:t>Releasee</w:t>
      </w:r>
      <w:r>
        <w:rPr>
          <w:rFonts w:ascii="Times New Roman" w:cs="Times New Roman" w:eastAsia="Times New Roman" w:hAnsi="Times New Roman"/>
          <w:sz w:val="17"/>
          <w:szCs w:val="17"/>
          <w:color w:val="auto"/>
        </w:rPr>
        <w:t>”) of and from all demands, actions, causes of action, suits, covenants, contracts, controversies, agreements, promises, sums of money, accounts, bills, reckonings, damages and any and all other claims, counterclaims, defenses, recoupment, rights of setoff, demands and liabilities whatsoever (individually, a “</w:t>
      </w:r>
      <w:r>
        <w:rPr>
          <w:rFonts w:ascii="Times New Roman" w:cs="Times New Roman" w:eastAsia="Times New Roman" w:hAnsi="Times New Roman"/>
          <w:sz w:val="17"/>
          <w:szCs w:val="17"/>
          <w:i w:val="1"/>
          <w:iCs w:val="1"/>
          <w:color w:val="auto"/>
        </w:rPr>
        <w:t>Claim</w:t>
      </w:r>
      <w:r>
        <w:rPr>
          <w:rFonts w:ascii="Times New Roman" w:cs="Times New Roman" w:eastAsia="Times New Roman" w:hAnsi="Times New Roman"/>
          <w:sz w:val="17"/>
          <w:szCs w:val="17"/>
          <w:color w:val="auto"/>
        </w:rPr>
        <w:t>” and collectively, “</w:t>
      </w:r>
      <w:r>
        <w:rPr>
          <w:rFonts w:ascii="Times New Roman" w:cs="Times New Roman" w:eastAsia="Times New Roman" w:hAnsi="Times New Roman"/>
          <w:sz w:val="17"/>
          <w:szCs w:val="17"/>
          <w:i w:val="1"/>
          <w:iCs w:val="1"/>
          <w:color w:val="auto"/>
        </w:rPr>
        <w:t>Claims</w:t>
      </w:r>
      <w:r>
        <w:rPr>
          <w:rFonts w:ascii="Times New Roman" w:cs="Times New Roman" w:eastAsia="Times New Roman" w:hAnsi="Times New Roman"/>
          <w:sz w:val="17"/>
          <w:szCs w:val="17"/>
          <w:color w:val="auto"/>
        </w:rPr>
        <w:t>”) of every name and nature, known or unknown, contingent or mature, suspected or unsuspected, both at law and in equity, which any Loan Party or any of its respective successors, assigns, or other legal representatives may now or hereafter own, hold, have or claim to have against the Releasees or any of them for, upon, or by reason of any circumstance, action, cause or thing whatsoever, in each case which arose at any time on or prior to the day and date of this Amendment, including, without limitation, for or on account of, or in relation to, or in any way in connection with this Amendment or any of the other Loan Documents or transactions thereunder or related thereto.</w:t>
      </w:r>
    </w:p>
    <w:p>
      <w:pPr>
        <w:sectPr>
          <w:pgSz w:w="11900" w:h="16838" w:orient="portrait"/>
          <w:cols w:equalWidth="0" w:num="1">
            <w:col w:w="11280"/>
          </w:cols>
          <w:pgMar w:left="300" w:top="1116" w:right="319" w:bottom="1440" w:gutter="0" w:footer="0" w:header="0"/>
        </w:sectPr>
      </w:pPr>
    </w:p>
    <w:bookmarkStart w:id="207" w:name="page208"/>
    <w:bookmarkEnd w:id="207"/>
    <w:p>
      <w:pPr>
        <w:jc w:val="both"/>
        <w:ind w:firstLine="503"/>
        <w:spacing w:after="0" w:line="262" w:lineRule="auto"/>
        <w:tabs>
          <w:tab w:leader="none" w:pos="1015"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Loan Party understands, acknowledges and agrees that the release set forth above may be pleaded as a full and complete defense and may be used as a basis for an injunction against any action, suit or other proceeding which may be instituted, prosecuted or attempted in breach of the provisions of such release.</w:t>
      </w:r>
    </w:p>
    <w:p>
      <w:pPr>
        <w:spacing w:after="0" w:line="155" w:lineRule="exact"/>
        <w:rPr>
          <w:rFonts w:ascii="Times New Roman" w:cs="Times New Roman" w:eastAsia="Times New Roman" w:hAnsi="Times New Roman"/>
          <w:sz w:val="17"/>
          <w:szCs w:val="17"/>
          <w:color w:val="auto"/>
        </w:rPr>
      </w:pPr>
    </w:p>
    <w:p>
      <w:pPr>
        <w:ind w:firstLine="503"/>
        <w:spacing w:after="0" w:line="289" w:lineRule="auto"/>
        <w:tabs>
          <w:tab w:leader="none" w:pos="1016"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Loan Party agrees that no fact, event, circumstance, evidence or transaction which could now be asserted or which may hereafter be discovered shall affect in any manner the final, absolute and unconditional nature of the release set forth above.</w:t>
      </w:r>
    </w:p>
    <w:p>
      <w:pPr>
        <w:spacing w:after="0" w:line="133" w:lineRule="exact"/>
        <w:rPr>
          <w:rFonts w:ascii="Times New Roman" w:cs="Times New Roman" w:eastAsia="Times New Roman" w:hAnsi="Times New Roman"/>
          <w:sz w:val="17"/>
          <w:szCs w:val="17"/>
          <w:color w:val="auto"/>
        </w:rPr>
      </w:pPr>
    </w:p>
    <w:p>
      <w:pPr>
        <w:jc w:val="both"/>
        <w:ind w:firstLine="503"/>
        <w:spacing w:after="0" w:line="257" w:lineRule="auto"/>
        <w:tabs>
          <w:tab w:leader="none" w:pos="1015"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entering into this Amendment, each Loan Party has consulted with, and has been represented by, legal counsel and expressly disclaims any reliance on any representations, acts or omissions by any of the Releasees and hereby agrees and acknowledges that the validity and effectiveness of the release set forth above does not depend in any way on any such representations, acts and/or omissions or the accuracy, completeness or validity hereof. The release set forth herein shall survive the termination of this Amendment and the Loan Documents and the payment in full of the Obligations.</w:t>
      </w:r>
    </w:p>
    <w:p>
      <w:pPr>
        <w:spacing w:after="0" w:line="160" w:lineRule="exact"/>
        <w:rPr>
          <w:rFonts w:ascii="Times New Roman" w:cs="Times New Roman" w:eastAsia="Times New Roman" w:hAnsi="Times New Roman"/>
          <w:sz w:val="17"/>
          <w:szCs w:val="17"/>
          <w:color w:val="auto"/>
        </w:rPr>
      </w:pPr>
    </w:p>
    <w:p>
      <w:pPr>
        <w:ind w:left="1020" w:hanging="517"/>
        <w:spacing w:after="0"/>
        <w:tabs>
          <w:tab w:leader="none" w:pos="10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Loan Party acknowledges and agrees that the release set forth above may not be changed, amended, waived, discharged or terminated</w:t>
      </w:r>
    </w:p>
    <w:p>
      <w:pPr>
        <w:spacing w:after="0" w:line="23"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orally.</w:t>
      </w:r>
    </w:p>
    <w:p>
      <w:pPr>
        <w:spacing w:after="0" w:line="200" w:lineRule="exact"/>
        <w:rPr>
          <w:rFonts w:ascii="Times New Roman" w:cs="Times New Roman" w:eastAsia="Times New Roman" w:hAnsi="Times New Roman"/>
          <w:sz w:val="17"/>
          <w:szCs w:val="17"/>
          <w:color w:val="auto"/>
        </w:rPr>
      </w:pPr>
    </w:p>
    <w:p>
      <w:pPr>
        <w:spacing w:after="0" w:line="329" w:lineRule="exact"/>
        <w:rPr>
          <w:rFonts w:ascii="Times New Roman" w:cs="Times New Roman" w:eastAsia="Times New Roman" w:hAnsi="Times New Roman"/>
          <w:sz w:val="17"/>
          <w:szCs w:val="17"/>
          <w:color w:val="auto"/>
        </w:rPr>
      </w:pPr>
    </w:p>
    <w:p>
      <w:pPr>
        <w:ind w:left="49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 *</w:t>
      </w:r>
    </w:p>
    <w:p>
      <w:pPr>
        <w:sectPr>
          <w:pgSz w:w="11900" w:h="16838" w:orient="portrait"/>
          <w:cols w:equalWidth="0" w:num="1">
            <w:col w:w="10760"/>
          </w:cols>
          <w:pgMar w:left="820" w:top="946" w:right="31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6"/>
          <w:szCs w:val="16"/>
          <w:color w:val="auto"/>
        </w:rPr>
        <w:t>IN WITNESS WHEREOF, the parties hereto have caused this Amendment to be duly executed and attested, all as of the date first above written.</w:t>
      </w:r>
    </w:p>
    <w:p>
      <w:pPr>
        <w:sectPr>
          <w:pgSz w:w="11900" w:h="16838" w:orient="portrait"/>
          <w:cols w:equalWidth="0" w:num="1">
            <w:col w:w="9840"/>
          </w:cols>
          <w:pgMar w:left="820" w:top="1148" w:right="1239" w:bottom="1440" w:gutter="0" w:footer="0" w:header="0"/>
        </w:sectPr>
      </w:pPr>
    </w:p>
    <w:p>
      <w:pPr>
        <w:spacing w:after="0" w:line="200" w:lineRule="exact"/>
        <w:rPr>
          <w:sz w:val="20"/>
          <w:szCs w:val="20"/>
          <w:color w:val="auto"/>
        </w:rPr>
      </w:pPr>
    </w:p>
    <w:p>
      <w:pPr>
        <w:spacing w:after="0" w:line="369"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7"/>
          <w:szCs w:val="17"/>
          <w:color w:val="auto"/>
        </w:rPr>
        <w:t>INNOVATE Corp.</w:t>
      </w:r>
    </w:p>
    <w:p>
      <w:pPr>
        <w:spacing w:after="0" w:line="225" w:lineRule="exact"/>
        <w:rPr>
          <w:sz w:val="20"/>
          <w:szCs w:val="20"/>
          <w:color w:val="auto"/>
        </w:rPr>
      </w:pPr>
    </w:p>
    <w:tbl>
      <w:tblPr>
        <w:tblLayout w:type="fixed"/>
        <w:tblInd w:w="3060" w:type="dxa"/>
        <w:tblCellMar>
          <w:top w:w="0" w:type="dxa"/>
          <w:left w:w="0" w:type="dxa"/>
          <w:bottom w:w="0" w:type="dxa"/>
          <w:right w:w="0" w:type="dxa"/>
        </w:tblCellMar>
      </w:tblPr>
      <w:tr>
        <w:trPr>
          <w:trHeight w:val="223"/>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2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i w:val="1"/>
                <w:iCs w:val="1"/>
                <w:color w:val="auto"/>
              </w:rPr>
              <w:t>/s/ Michael J. Sena</w:t>
            </w:r>
          </w:p>
        </w:tc>
      </w:tr>
      <w:tr>
        <w:trPr>
          <w:trHeight w:val="196"/>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2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Michael J. Sena</w:t>
            </w:r>
          </w:p>
        </w:tc>
      </w:tr>
      <w:tr>
        <w:trPr>
          <w:trHeight w:val="219"/>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2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Chief Financial Officer</w:t>
            </w:r>
          </w:p>
        </w:tc>
      </w:tr>
      <w:tr>
        <w:trPr>
          <w:trHeight w:val="647"/>
        </w:trPr>
        <w:tc>
          <w:tcPr>
            <w:tcW w:w="3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INNOVATE 2 Corp.</w:t>
            </w:r>
          </w:p>
        </w:tc>
      </w:tr>
      <w:tr>
        <w:trPr>
          <w:trHeight w:val="424"/>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2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i w:val="1"/>
                <w:iCs w:val="1"/>
                <w:color w:val="auto"/>
              </w:rPr>
              <w:t>/s/ Michael J. Sena</w:t>
            </w:r>
          </w:p>
        </w:tc>
      </w:tr>
      <w:tr>
        <w:trPr>
          <w:trHeight w:val="196"/>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2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Michael J. Sena</w:t>
            </w:r>
          </w:p>
        </w:tc>
      </w:tr>
      <w:tr>
        <w:trPr>
          <w:trHeight w:val="170"/>
        </w:trPr>
        <w:tc>
          <w:tcPr>
            <w:tcW w:w="640" w:type="dxa"/>
            <w:vAlign w:val="bottom"/>
          </w:tcPr>
          <w:p>
            <w:pPr>
              <w:spacing w:after="0" w:line="170" w:lineRule="exact"/>
              <w:rPr>
                <w:sz w:val="20"/>
                <w:szCs w:val="20"/>
                <w:color w:val="auto"/>
              </w:rPr>
            </w:pPr>
            <w:r>
              <w:rPr>
                <w:rFonts w:ascii="Times New Roman" w:cs="Times New Roman" w:eastAsia="Times New Roman" w:hAnsi="Times New Roman"/>
                <w:sz w:val="17"/>
                <w:szCs w:val="17"/>
                <w:color w:val="auto"/>
              </w:rPr>
              <w:t>Title:</w:t>
            </w:r>
          </w:p>
        </w:tc>
        <w:tc>
          <w:tcPr>
            <w:tcW w:w="2400" w:type="dxa"/>
            <w:vAlign w:val="bottom"/>
          </w:tcPr>
          <w:p>
            <w:pPr>
              <w:ind w:left="20"/>
              <w:spacing w:after="0" w:line="170" w:lineRule="exact"/>
              <w:rPr>
                <w:sz w:val="20"/>
                <w:szCs w:val="20"/>
                <w:color w:val="auto"/>
              </w:rPr>
            </w:pPr>
            <w:r>
              <w:rPr>
                <w:rFonts w:ascii="Times New Roman" w:cs="Times New Roman" w:eastAsia="Times New Roman" w:hAnsi="Times New Roman"/>
                <w:sz w:val="17"/>
                <w:szCs w:val="17"/>
                <w:color w:val="auto"/>
              </w:rPr>
              <w:t>Chief Executive Officer and Chief</w:t>
            </w:r>
          </w:p>
        </w:tc>
      </w:tr>
      <w:tr>
        <w:trPr>
          <w:trHeight w:val="219"/>
        </w:trPr>
        <w:tc>
          <w:tcPr>
            <w:tcW w:w="640" w:type="dxa"/>
            <w:vAlign w:val="bottom"/>
          </w:tcPr>
          <w:p>
            <w:pPr>
              <w:spacing w:after="0"/>
              <w:rPr>
                <w:sz w:val="19"/>
                <w:szCs w:val="19"/>
                <w:color w:val="auto"/>
              </w:rPr>
            </w:pPr>
          </w:p>
        </w:tc>
        <w:tc>
          <w:tcPr>
            <w:tcW w:w="2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Financial Officer</w:t>
            </w:r>
          </w:p>
        </w:tc>
      </w:tr>
      <w:tr>
        <w:trPr>
          <w:trHeight w:val="647"/>
        </w:trPr>
        <w:tc>
          <w:tcPr>
            <w:tcW w:w="3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DBM Global Intermediate Holdco Inc.</w:t>
            </w:r>
          </w:p>
        </w:tc>
      </w:tr>
      <w:tr>
        <w:trPr>
          <w:trHeight w:val="424"/>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2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i w:val="1"/>
                <w:iCs w:val="1"/>
                <w:color w:val="auto"/>
              </w:rPr>
              <w:t>/s/ Michael J. Sena</w:t>
            </w:r>
          </w:p>
        </w:tc>
      </w:tr>
      <w:tr>
        <w:trPr>
          <w:trHeight w:val="196"/>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2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Michael J. Sena</w:t>
            </w:r>
          </w:p>
        </w:tc>
      </w:tr>
      <w:tr>
        <w:trPr>
          <w:trHeight w:val="170"/>
        </w:trPr>
        <w:tc>
          <w:tcPr>
            <w:tcW w:w="640" w:type="dxa"/>
            <w:vAlign w:val="bottom"/>
          </w:tcPr>
          <w:p>
            <w:pPr>
              <w:spacing w:after="0" w:line="170" w:lineRule="exact"/>
              <w:rPr>
                <w:sz w:val="20"/>
                <w:szCs w:val="20"/>
                <w:color w:val="auto"/>
              </w:rPr>
            </w:pPr>
            <w:r>
              <w:rPr>
                <w:rFonts w:ascii="Times New Roman" w:cs="Times New Roman" w:eastAsia="Times New Roman" w:hAnsi="Times New Roman"/>
                <w:sz w:val="17"/>
                <w:szCs w:val="17"/>
                <w:color w:val="auto"/>
              </w:rPr>
              <w:t>Title:</w:t>
            </w:r>
          </w:p>
        </w:tc>
        <w:tc>
          <w:tcPr>
            <w:tcW w:w="2400" w:type="dxa"/>
            <w:vAlign w:val="bottom"/>
          </w:tcPr>
          <w:p>
            <w:pPr>
              <w:ind w:left="20"/>
              <w:spacing w:after="0" w:line="170" w:lineRule="exact"/>
              <w:rPr>
                <w:sz w:val="20"/>
                <w:szCs w:val="20"/>
                <w:color w:val="auto"/>
              </w:rPr>
            </w:pPr>
            <w:r>
              <w:rPr>
                <w:rFonts w:ascii="Times New Roman" w:cs="Times New Roman" w:eastAsia="Times New Roman" w:hAnsi="Times New Roman"/>
                <w:sz w:val="17"/>
                <w:szCs w:val="17"/>
                <w:color w:val="auto"/>
              </w:rPr>
              <w:t>Chief Executive Officer and Chief</w:t>
            </w:r>
          </w:p>
        </w:tc>
      </w:tr>
      <w:tr>
        <w:trPr>
          <w:trHeight w:val="219"/>
        </w:trPr>
        <w:tc>
          <w:tcPr>
            <w:tcW w:w="640" w:type="dxa"/>
            <w:vAlign w:val="bottom"/>
          </w:tcPr>
          <w:p>
            <w:pPr>
              <w:spacing w:after="0"/>
              <w:rPr>
                <w:sz w:val="19"/>
                <w:szCs w:val="19"/>
                <w:color w:val="auto"/>
              </w:rPr>
            </w:pPr>
          </w:p>
        </w:tc>
        <w:tc>
          <w:tcPr>
            <w:tcW w:w="2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ind w:right="34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Ninth Amendment</w:t>
      </w:r>
      <w:r>
        <w:rPr>
          <w:rFonts w:ascii="Times New Roman" w:cs="Times New Roman" w:eastAsia="Times New Roman" w:hAnsi="Times New Roman"/>
          <w:sz w:val="17"/>
          <w:szCs w:val="17"/>
          <w:color w:val="auto"/>
        </w:rPr>
        <w:t>]</w:t>
      </w:r>
    </w:p>
    <w:p>
      <w:pPr>
        <w:sectPr>
          <w:pgSz w:w="11900" w:h="16838" w:orient="portrait"/>
          <w:cols w:equalWidth="0" w:num="1">
            <w:col w:w="9840"/>
          </w:cols>
          <w:pgMar w:left="820" w:top="1148" w:right="1239" w:bottom="1440" w:gutter="0" w:footer="0" w:header="0"/>
          <w:type w:val="continuous"/>
        </w:sectPr>
      </w:pPr>
    </w:p>
    <w:bookmarkStart w:id="209" w:name="page210"/>
    <w:bookmarkEnd w:id="209"/>
    <w:p>
      <w:pPr>
        <w:spacing w:after="0" w:line="200" w:lineRule="exact"/>
        <w:rPr>
          <w:sz w:val="20"/>
          <w:szCs w:val="20"/>
          <w:color w:val="auto"/>
        </w:rPr>
      </w:pPr>
    </w:p>
    <w:p>
      <w:pPr>
        <w:spacing w:after="0" w:line="254"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7"/>
          <w:szCs w:val="17"/>
          <w:color w:val="auto"/>
        </w:rPr>
        <w:t>MSD PCOF Partners IX, LLC,</w:t>
      </w:r>
    </w:p>
    <w:p>
      <w:pPr>
        <w:ind w:left="2440"/>
        <w:spacing w:after="0"/>
        <w:rPr>
          <w:sz w:val="20"/>
          <w:szCs w:val="20"/>
          <w:color w:val="auto"/>
        </w:rPr>
      </w:pPr>
      <w:r>
        <w:rPr>
          <w:rFonts w:ascii="Times New Roman" w:cs="Times New Roman" w:eastAsia="Times New Roman" w:hAnsi="Times New Roman"/>
          <w:sz w:val="17"/>
          <w:szCs w:val="17"/>
          <w:color w:val="auto"/>
        </w:rPr>
        <w:t>as Lender</w:t>
      </w:r>
    </w:p>
    <w:p>
      <w:pPr>
        <w:spacing w:after="0" w:line="207" w:lineRule="exact"/>
        <w:rPr>
          <w:sz w:val="20"/>
          <w:szCs w:val="20"/>
          <w:color w:val="auto"/>
        </w:rPr>
      </w:pPr>
    </w:p>
    <w:p>
      <w:pPr>
        <w:ind w:left="2440"/>
        <w:spacing w:after="0"/>
        <w:tabs>
          <w:tab w:leader="none" w:pos="308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i w:val="1"/>
          <w:iCs w:val="1"/>
          <w:color w:val="auto"/>
        </w:rPr>
        <w:t>/s/ Marcello Liguori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1953895</wp:posOffset>
            </wp:positionH>
            <wp:positionV relativeFrom="paragraph">
              <wp:posOffset>19685</wp:posOffset>
            </wp:positionV>
            <wp:extent cx="1529080" cy="698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529080" cy="6985"/>
                    </a:xfrm>
                    <a:prstGeom prst="rect">
                      <a:avLst/>
                    </a:prstGeom>
                    <a:noFill/>
                  </pic:spPr>
                </pic:pic>
              </a:graphicData>
            </a:graphic>
          </wp:anchor>
        </w:drawing>
      </w:r>
    </w:p>
    <w:p>
      <w:pPr>
        <w:spacing w:after="0" w:line="11" w:lineRule="exact"/>
        <w:rPr>
          <w:sz w:val="20"/>
          <w:szCs w:val="20"/>
          <w:color w:val="auto"/>
        </w:rPr>
      </w:pPr>
    </w:p>
    <w:p>
      <w:pPr>
        <w:ind w:left="2440"/>
        <w:spacing w:after="0"/>
        <w:tabs>
          <w:tab w:leader="none" w:pos="3120" w:val="left"/>
        </w:tabs>
        <w:rPr>
          <w:sz w:val="20"/>
          <w:szCs w:val="20"/>
          <w:color w:val="auto"/>
        </w:rPr>
      </w:pPr>
      <w:r>
        <w:rPr>
          <w:rFonts w:ascii="Times New Roman" w:cs="Times New Roman" w:eastAsia="Times New Roman" w:hAnsi="Times New Roman"/>
          <w:sz w:val="17"/>
          <w:szCs w:val="17"/>
          <w:color w:val="auto"/>
        </w:rPr>
        <w:t>Name:</w:t>
        <w:tab/>
        <w:t>Marcello Liguori</w:t>
      </w:r>
    </w:p>
    <w:p>
      <w:pPr>
        <w:spacing w:after="0" w:line="24" w:lineRule="exact"/>
        <w:rPr>
          <w:sz w:val="20"/>
          <w:szCs w:val="20"/>
          <w:color w:val="auto"/>
        </w:rPr>
      </w:pPr>
    </w:p>
    <w:p>
      <w:pPr>
        <w:ind w:left="2440"/>
        <w:spacing w:after="0"/>
        <w:tabs>
          <w:tab w:leader="none" w:pos="3080" w:val="left"/>
        </w:tabs>
        <w:rPr>
          <w:sz w:val="20"/>
          <w:szCs w:val="20"/>
          <w:color w:val="auto"/>
        </w:rPr>
      </w:pPr>
      <w:r>
        <w:rPr>
          <w:rFonts w:ascii="Times New Roman" w:cs="Times New Roman" w:eastAsia="Times New Roman" w:hAnsi="Times New Roman"/>
          <w:sz w:val="17"/>
          <w:szCs w:val="17"/>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Signature Page to Ninth Amendment</w:t>
      </w:r>
      <w:r>
        <w:rPr>
          <w:rFonts w:ascii="Times New Roman" w:cs="Times New Roman" w:eastAsia="Times New Roman" w:hAnsi="Times New Roman"/>
          <w:sz w:val="16"/>
          <w:szCs w:val="16"/>
          <w:color w:val="auto"/>
        </w:rPr>
        <w:t>]</w:t>
      </w:r>
    </w:p>
    <w:p>
      <w:pPr>
        <w:sectPr>
          <w:pgSz w:w="11900" w:h="16838" w:orient="portrait"/>
          <w:cols w:equalWidth="0" w:num="1">
            <w:col w:w="9019"/>
          </w:cols>
          <w:pgMar w:left="1440" w:top="1440" w:right="1440" w:bottom="1440" w:gutter="0" w:footer="0" w:header="0"/>
        </w:sectPr>
      </w:pPr>
    </w:p>
    <w:bookmarkStart w:id="210" w:name="page211"/>
    <w:bookmarkEnd w:id="210"/>
    <w:p>
      <w:pPr>
        <w:jc w:val="right"/>
        <w:spacing w:after="0"/>
        <w:rPr>
          <w:sz w:val="20"/>
          <w:szCs w:val="20"/>
          <w:color w:val="auto"/>
        </w:rPr>
      </w:pPr>
      <w:r>
        <w:rPr>
          <w:rFonts w:ascii="Times New Roman" w:cs="Times New Roman" w:eastAsia="Times New Roman" w:hAnsi="Times New Roman"/>
          <w:sz w:val="17"/>
          <w:szCs w:val="17"/>
          <w:b w:val="1"/>
          <w:bCs w:val="1"/>
          <w:color w:val="auto"/>
        </w:rPr>
        <w:t>Exhibit 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OPTION AGREEMENT</w:t>
      </w:r>
    </w:p>
    <w:p>
      <w:pPr>
        <w:spacing w:after="0" w:line="20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This Option Agreement (this “</w:t>
      </w:r>
      <w:r>
        <w:rPr>
          <w:rFonts w:ascii="Times New Roman" w:cs="Times New Roman" w:eastAsia="Times New Roman" w:hAnsi="Times New Roman"/>
          <w:sz w:val="17"/>
          <w:szCs w:val="17"/>
          <w:b w:val="1"/>
          <w:bCs w:val="1"/>
          <w:color w:val="auto"/>
        </w:rPr>
        <w:t>Agreement</w:t>
      </w:r>
      <w:r>
        <w:rPr>
          <w:rFonts w:ascii="Times New Roman" w:cs="Times New Roman" w:eastAsia="Times New Roman" w:hAnsi="Times New Roman"/>
          <w:sz w:val="17"/>
          <w:szCs w:val="17"/>
          <w:color w:val="auto"/>
        </w:rPr>
        <w:t>”) is made and entered into as of May 29, 2026, by and among CONX Corp., a Nevada corporation (“</w:t>
      </w:r>
      <w:r>
        <w:rPr>
          <w:rFonts w:ascii="Times New Roman" w:cs="Times New Roman" w:eastAsia="Times New Roman" w:hAnsi="Times New Roman"/>
          <w:sz w:val="17"/>
          <w:szCs w:val="17"/>
          <w:b w:val="1"/>
          <w:bCs w:val="1"/>
          <w:color w:val="auto"/>
        </w:rPr>
        <w:t>Parent</w:t>
      </w:r>
      <w:r>
        <w:rPr>
          <w:rFonts w:ascii="Times New Roman" w:cs="Times New Roman" w:eastAsia="Times New Roman" w:hAnsi="Times New Roman"/>
          <w:sz w:val="17"/>
          <w:szCs w:val="17"/>
          <w:color w:val="auto"/>
        </w:rPr>
        <w:t>”), HC2 Merger Sub, LLC, a Delaware limited liability company (“</w:t>
      </w:r>
      <w:r>
        <w:rPr>
          <w:rFonts w:ascii="Times New Roman" w:cs="Times New Roman" w:eastAsia="Times New Roman" w:hAnsi="Times New Roman"/>
          <w:sz w:val="17"/>
          <w:szCs w:val="17"/>
          <w:b w:val="1"/>
          <w:bCs w:val="1"/>
          <w:color w:val="auto"/>
        </w:rPr>
        <w:t>SPV LLC</w:t>
      </w:r>
      <w:r>
        <w:rPr>
          <w:rFonts w:ascii="Times New Roman" w:cs="Times New Roman" w:eastAsia="Times New Roman" w:hAnsi="Times New Roman"/>
          <w:sz w:val="17"/>
          <w:szCs w:val="17"/>
          <w:color w:val="auto"/>
        </w:rPr>
        <w:t>”), HC2 Broadcasting Holdings, Inc., a Delaware corporation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HC2 Broadcasting Holdco LLC, a Delaware limited liability company (“</w:t>
      </w:r>
      <w:r>
        <w:rPr>
          <w:rFonts w:ascii="Times New Roman" w:cs="Times New Roman" w:eastAsia="Times New Roman" w:hAnsi="Times New Roman"/>
          <w:sz w:val="17"/>
          <w:szCs w:val="17"/>
          <w:b w:val="1"/>
          <w:bCs w:val="1"/>
          <w:color w:val="auto"/>
        </w:rPr>
        <w:t>Innovate</w:t>
      </w:r>
      <w:r>
        <w:rPr>
          <w:rFonts w:ascii="Times New Roman" w:cs="Times New Roman" w:eastAsia="Times New Roman" w:hAnsi="Times New Roman"/>
          <w:sz w:val="17"/>
          <w:szCs w:val="17"/>
          <w:color w:val="auto"/>
        </w:rPr>
        <w:t>”) and Innovate Corp., a Delaware corporation (“</w:t>
      </w:r>
      <w:r>
        <w:rPr>
          <w:rFonts w:ascii="Times New Roman" w:cs="Times New Roman" w:eastAsia="Times New Roman" w:hAnsi="Times New Roman"/>
          <w:sz w:val="17"/>
          <w:szCs w:val="17"/>
          <w:b w:val="1"/>
          <w:bCs w:val="1"/>
          <w:color w:val="auto"/>
        </w:rPr>
        <w:t>Innovate Parent</w:t>
      </w:r>
      <w:r>
        <w:rPr>
          <w:rFonts w:ascii="Times New Roman" w:cs="Times New Roman" w:eastAsia="Times New Roman" w:hAnsi="Times New Roman"/>
          <w:sz w:val="17"/>
          <w:szCs w:val="17"/>
          <w:color w:val="auto"/>
        </w:rPr>
        <w:t>”). All capitalized terms used but not defined in this Agreement shall have the meanings ascribed to them in the Merger Agreement (as defined below).</w:t>
      </w:r>
    </w:p>
    <w:p>
      <w:pPr>
        <w:spacing w:after="0" w:line="166"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WHEREAS, the parties hereto are parties to that certain agreement and plan of merger, dated as of the date hereof, by and among Parent, SPV LLC, the Company and Innovate (the “</w:t>
      </w:r>
      <w:r>
        <w:rPr>
          <w:rFonts w:ascii="Times New Roman" w:cs="Times New Roman" w:eastAsia="Times New Roman" w:hAnsi="Times New Roman"/>
          <w:sz w:val="17"/>
          <w:szCs w:val="17"/>
          <w:b w:val="1"/>
          <w:bCs w:val="1"/>
          <w:color w:val="auto"/>
        </w:rPr>
        <w:t>Merger Agreement</w:t>
      </w:r>
      <w:r>
        <w:rPr>
          <w:rFonts w:ascii="Times New Roman" w:cs="Times New Roman" w:eastAsia="Times New Roman" w:hAnsi="Times New Roman"/>
          <w:sz w:val="17"/>
          <w:szCs w:val="17"/>
          <w:color w:val="auto"/>
        </w:rPr>
        <w:t>”), pursuant to which SPV LLC will merge with and into the Company, with the Company surviving the Merger.</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WHEREAS, promptly following the Effective Time, the Company shall be converted into a Delaware limited liability company pursuant to the Conversion.</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WHEREAS, Innovate desires to acquire the right to acquire, from time to time, up to an aggregate amount of 15% of the Company’s then-outstanding shares of common stock or equity interests, as applicable (the “</w:t>
      </w:r>
      <w:r>
        <w:rPr>
          <w:rFonts w:ascii="Times New Roman" w:cs="Times New Roman" w:eastAsia="Times New Roman" w:hAnsi="Times New Roman"/>
          <w:sz w:val="17"/>
          <w:szCs w:val="17"/>
          <w:b w:val="1"/>
          <w:bCs w:val="1"/>
          <w:color w:val="auto"/>
        </w:rPr>
        <w:t>Company Equity Interests</w:t>
      </w:r>
      <w:r>
        <w:rPr>
          <w:rFonts w:ascii="Times New Roman" w:cs="Times New Roman" w:eastAsia="Times New Roman" w:hAnsi="Times New Roman"/>
          <w:sz w:val="17"/>
          <w:szCs w:val="17"/>
          <w:color w:val="auto"/>
        </w:rPr>
        <w:t>”), on a Fully Diluted Basis (as defined below), as determined on the date of the applicable Option Exercise Notice (as defined below), and Parent, SPV LLC and the Company each desires to grant such rights to Innovate, pursuant to the terms and conditions set forth herein.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NOW, THEREFORE, in consideration of the foregoing and the mutual and dependent covenants hereinafter set forth, the parties hereto agree as follows:</w:t>
      </w:r>
    </w:p>
    <w:p>
      <w:pPr>
        <w:spacing w:after="0" w:line="218" w:lineRule="exact"/>
        <w:rPr>
          <w:sz w:val="20"/>
          <w:szCs w:val="20"/>
          <w:color w:val="auto"/>
        </w:rPr>
      </w:pPr>
    </w:p>
    <w:p>
      <w:pPr>
        <w:ind w:left="820" w:hanging="306"/>
        <w:spacing w:after="0"/>
        <w:tabs>
          <w:tab w:leader="none" w:pos="8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Grant of Option</w:t>
      </w:r>
      <w:r>
        <w:rPr>
          <w:rFonts w:ascii="Times New Roman" w:cs="Times New Roman" w:eastAsia="Times New Roman" w:hAnsi="Times New Roman"/>
          <w:sz w:val="17"/>
          <w:szCs w:val="17"/>
          <w:color w:val="auto"/>
        </w:rPr>
        <w:t>.</w:t>
      </w:r>
    </w:p>
    <w:p>
      <w:pPr>
        <w:spacing w:after="0" w:line="207" w:lineRule="exact"/>
        <w:rPr>
          <w:rFonts w:ascii="Times New Roman" w:cs="Times New Roman" w:eastAsia="Times New Roman" w:hAnsi="Times New Roman"/>
          <w:sz w:val="17"/>
          <w:szCs w:val="17"/>
          <w:color w:val="auto"/>
        </w:rPr>
      </w:pPr>
    </w:p>
    <w:p>
      <w:pPr>
        <w:jc w:val="both"/>
        <w:ind w:left="520" w:firstLine="503"/>
        <w:spacing w:after="0" w:line="255" w:lineRule="auto"/>
        <w:tabs>
          <w:tab w:leader="none" w:pos="1419"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Right to Purchase</w:t>
      </w:r>
      <w:r>
        <w:rPr>
          <w:rFonts w:ascii="Times New Roman" w:cs="Times New Roman" w:eastAsia="Times New Roman" w:hAnsi="Times New Roman"/>
          <w:sz w:val="17"/>
          <w:szCs w:val="17"/>
          <w:color w:val="auto"/>
        </w:rPr>
        <w:t>. Subject to the terms and conditions of this Agreement, at any time and from time to time during the period commencing on the Closing Date and ending on, and including, the date that is 18 months from the Closing Date (the “</w:t>
      </w:r>
      <w:r>
        <w:rPr>
          <w:rFonts w:ascii="Times New Roman" w:cs="Times New Roman" w:eastAsia="Times New Roman" w:hAnsi="Times New Roman"/>
          <w:sz w:val="17"/>
          <w:szCs w:val="17"/>
          <w:b w:val="1"/>
          <w:bCs w:val="1"/>
          <w:color w:val="auto"/>
        </w:rPr>
        <w:t>Option Expiration Date</w:t>
      </w:r>
      <w:r>
        <w:rPr>
          <w:rFonts w:ascii="Times New Roman" w:cs="Times New Roman" w:eastAsia="Times New Roman" w:hAnsi="Times New Roman"/>
          <w:sz w:val="17"/>
          <w:szCs w:val="17"/>
          <w:color w:val="auto"/>
        </w:rPr>
        <w:t xml:space="preserve">”), Innovate shall have the right, but not the obligation, to purchase Company Equity Interests from Parent in exchange for payment of all or any portion of the Remaining Option Purchase Price (as defined below) in accordance with </w:t>
      </w:r>
      <w:r>
        <w:rPr>
          <w:rFonts w:ascii="Times New Roman" w:cs="Times New Roman" w:eastAsia="Times New Roman" w:hAnsi="Times New Roman"/>
          <w:sz w:val="17"/>
          <w:szCs w:val="17"/>
          <w:u w:val="single" w:color="auto"/>
          <w:color w:val="auto"/>
        </w:rPr>
        <w:t>Section 2</w:t>
      </w:r>
      <w:r>
        <w:rPr>
          <w:rFonts w:ascii="Times New Roman" w:cs="Times New Roman" w:eastAsia="Times New Roman" w:hAnsi="Times New Roman"/>
          <w:sz w:val="17"/>
          <w:szCs w:val="17"/>
          <w:color w:val="auto"/>
        </w:rPr>
        <w:t xml:space="preserve"> of this Agreement (the “</w:t>
      </w:r>
      <w:r>
        <w:rPr>
          <w:rFonts w:ascii="Times New Roman" w:cs="Times New Roman" w:eastAsia="Times New Roman" w:hAnsi="Times New Roman"/>
          <w:sz w:val="17"/>
          <w:szCs w:val="17"/>
          <w:b w:val="1"/>
          <w:bCs w:val="1"/>
          <w:color w:val="auto"/>
        </w:rPr>
        <w:t>Option</w:t>
      </w:r>
      <w:r>
        <w:rPr>
          <w:rFonts w:ascii="Times New Roman" w:cs="Times New Roman" w:eastAsia="Times New Roman" w:hAnsi="Times New Roman"/>
          <w:sz w:val="17"/>
          <w:szCs w:val="17"/>
          <w:color w:val="auto"/>
        </w:rPr>
        <w:t>”). Subject to the terms and conditions of this Agreement, Innovate may exercise the Option on one or more occasions until the earlier of (i) such time as the Remaining Option Purchase Price equals $0.00 and (ii) the Option Expiration Date (such date, the “</w:t>
      </w:r>
      <w:r>
        <w:rPr>
          <w:rFonts w:ascii="Times New Roman" w:cs="Times New Roman" w:eastAsia="Times New Roman" w:hAnsi="Times New Roman"/>
          <w:sz w:val="17"/>
          <w:szCs w:val="17"/>
          <w:b w:val="1"/>
          <w:bCs w:val="1"/>
          <w:color w:val="auto"/>
        </w:rPr>
        <w:t>Option Termination Date</w:t>
      </w:r>
      <w:r>
        <w:rPr>
          <w:rFonts w:ascii="Times New Roman" w:cs="Times New Roman" w:eastAsia="Times New Roman" w:hAnsi="Times New Roman"/>
          <w:sz w:val="17"/>
          <w:szCs w:val="17"/>
          <w:color w:val="auto"/>
        </w:rPr>
        <w:t>”).</w:t>
      </w:r>
    </w:p>
    <w:p>
      <w:pPr>
        <w:spacing w:after="0" w:line="175" w:lineRule="exact"/>
        <w:rPr>
          <w:rFonts w:ascii="Times New Roman" w:cs="Times New Roman" w:eastAsia="Times New Roman" w:hAnsi="Times New Roman"/>
          <w:sz w:val="17"/>
          <w:szCs w:val="17"/>
          <w:color w:val="auto"/>
        </w:rPr>
      </w:pPr>
    </w:p>
    <w:p>
      <w:pPr>
        <w:ind w:left="1400" w:hanging="377"/>
        <w:spacing w:after="0"/>
        <w:tabs>
          <w:tab w:leader="none" w:pos="1400"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Exercise Procedures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ectPr>
          <w:pgSz w:w="11900" w:h="16838" w:orient="portrait"/>
          <w:cols w:equalWidth="0" w:num="1">
            <w:col w:w="11280"/>
          </w:cols>
          <w:pgMar w:left="300" w:top="125" w:right="319" w:bottom="1440" w:gutter="0" w:footer="0" w:header="0"/>
        </w:sectPr>
      </w:pPr>
    </w:p>
    <w:bookmarkStart w:id="211" w:name="page212"/>
    <w:bookmarkEnd w:id="211"/>
    <w:p>
      <w:pPr>
        <w:ind w:left="-120" w:right="20" w:firstLine="513"/>
        <w:spacing w:after="0" w:line="270" w:lineRule="auto"/>
        <w:tabs>
          <w:tab w:leader="none" w:pos="719"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Innovate desires to exercise the Option pursuant to this </w:t>
      </w:r>
      <w:r>
        <w:rPr>
          <w:rFonts w:ascii="Times New Roman" w:cs="Times New Roman" w:eastAsia="Times New Roman" w:hAnsi="Times New Roman"/>
          <w:sz w:val="16"/>
          <w:szCs w:val="16"/>
          <w:u w:val="single" w:color="auto"/>
          <w:color w:val="auto"/>
        </w:rPr>
        <w:t>Section 1</w:t>
      </w:r>
      <w:r>
        <w:rPr>
          <w:rFonts w:ascii="Times New Roman" w:cs="Times New Roman" w:eastAsia="Times New Roman" w:hAnsi="Times New Roman"/>
          <w:sz w:val="16"/>
          <w:szCs w:val="16"/>
          <w:color w:val="auto"/>
        </w:rPr>
        <w:t xml:space="preserve">, Innovate shall deliver to Parent a written, unconditional, and irrevocable notice in the form attached as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xml:space="preserve"> (each, an “</w:t>
      </w:r>
      <w:r>
        <w:rPr>
          <w:rFonts w:ascii="Times New Roman" w:cs="Times New Roman" w:eastAsia="Times New Roman" w:hAnsi="Times New Roman"/>
          <w:sz w:val="16"/>
          <w:szCs w:val="16"/>
          <w:b w:val="1"/>
          <w:bCs w:val="1"/>
          <w:color w:val="auto"/>
        </w:rPr>
        <w:t>Option Exercise Notice</w:t>
      </w:r>
      <w:r>
        <w:rPr>
          <w:rFonts w:ascii="Times New Roman" w:cs="Times New Roman" w:eastAsia="Times New Roman" w:hAnsi="Times New Roman"/>
          <w:sz w:val="16"/>
          <w:szCs w:val="16"/>
          <w:color w:val="auto"/>
        </w:rPr>
        <w:t>”) exercising the Option in whole or in part, as applicable. Each Option Exercise Notice shall (A) specify the dollar amount that Innovate elects, or is required, to apply toward the exercise of the Option in connection with such exercise (the “</w:t>
      </w:r>
      <w:r>
        <w:rPr>
          <w:rFonts w:ascii="Times New Roman" w:cs="Times New Roman" w:eastAsia="Times New Roman" w:hAnsi="Times New Roman"/>
          <w:sz w:val="16"/>
          <w:szCs w:val="16"/>
          <w:b w:val="1"/>
          <w:bCs w:val="1"/>
          <w:color w:val="auto"/>
        </w:rPr>
        <w:t>Exercise Amount</w:t>
      </w:r>
      <w:r>
        <w:rPr>
          <w:rFonts w:ascii="Times New Roman" w:cs="Times New Roman" w:eastAsia="Times New Roman" w:hAnsi="Times New Roman"/>
          <w:sz w:val="16"/>
          <w:szCs w:val="16"/>
          <w:color w:val="auto"/>
        </w:rPr>
        <w:t>”), which Exercise Amount shall not exceed the Remaining Option Purchase Price as of the date of such Option Exercise Notice and (B) certify to Parent that (1) the representations and warranties to be made by Innovate and Innovate Parent on the applicable Option Closing Date are true and correct in all material respects as of the date of the Option Exercise Notice and will be true and correct in all material respects as of the applicable Option Closing Date and (2) Innovate and Innovate Parent have complied with all covenants and agreements under this Agreement required to be complied with by Innovate or Innovate Parent in all material respects as of the date of the applicable Option Exercise Notice and will be in compliance with all such covenants and agreements in all material respects as of the applicable Option Closing Date.</w:t>
      </w:r>
    </w:p>
    <w:p>
      <w:pPr>
        <w:spacing w:after="0" w:line="174" w:lineRule="exact"/>
        <w:rPr>
          <w:rFonts w:ascii="Times New Roman" w:cs="Times New Roman" w:eastAsia="Times New Roman" w:hAnsi="Times New Roman"/>
          <w:sz w:val="16"/>
          <w:szCs w:val="16"/>
          <w:color w:val="auto"/>
        </w:rPr>
      </w:pPr>
    </w:p>
    <w:p>
      <w:pPr>
        <w:jc w:val="both"/>
        <w:ind w:left="-120" w:firstLine="513"/>
        <w:spacing w:after="0" w:line="257" w:lineRule="auto"/>
        <w:tabs>
          <w:tab w:leader="none" w:pos="801"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Parent shall at the closing of an Option, represent and warrant to Innovate that, except as would not reasonably be expected to prevent, materially delay or materially impair the consummation of any Option exercised to be consummated pursuant to this Agreement, Parent has good and valid title to the applicable Company Equity Interests free and clear of all Liens (other than Liens pursuant to Securities Laws, the Organizational Documents of the Company or arising under this Agreement or the Merger Agreement).</w:t>
      </w:r>
    </w:p>
    <w:p>
      <w:pPr>
        <w:spacing w:after="0" w:line="181" w:lineRule="exact"/>
        <w:rPr>
          <w:rFonts w:ascii="Times New Roman" w:cs="Times New Roman" w:eastAsia="Times New Roman" w:hAnsi="Times New Roman"/>
          <w:sz w:val="17"/>
          <w:szCs w:val="17"/>
          <w:color w:val="auto"/>
        </w:rPr>
      </w:pPr>
    </w:p>
    <w:p>
      <w:pPr>
        <w:ind w:left="-120" w:firstLine="513"/>
        <w:spacing w:after="0" w:line="276" w:lineRule="auto"/>
        <w:tabs>
          <w:tab w:leader="none" w:pos="8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Innovate and Innovate Parent represents and warrants to Parent and SPV LLC upon the execution of this Agreement and shall at the closing of any Option represent and warrant to Parent that:</w:t>
      </w:r>
    </w:p>
    <w:p>
      <w:pPr>
        <w:spacing w:after="0" w:line="155" w:lineRule="exact"/>
        <w:rPr>
          <w:rFonts w:ascii="Times New Roman" w:cs="Times New Roman" w:eastAsia="Times New Roman" w:hAnsi="Times New Roman"/>
          <w:sz w:val="17"/>
          <w:szCs w:val="17"/>
          <w:color w:val="auto"/>
        </w:rPr>
      </w:pPr>
    </w:p>
    <w:p>
      <w:pPr>
        <w:ind w:left="1420" w:hanging="518"/>
        <w:spacing w:after="0"/>
        <w:tabs>
          <w:tab w:leader="none" w:pos="1420"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Person is duly organized, validly existing and in good standing under the laws of its jurisdiction of incorporation or</w:t>
      </w:r>
    </w:p>
    <w:p>
      <w:pPr>
        <w:spacing w:after="0" w:line="23" w:lineRule="exact"/>
        <w:rPr>
          <w:rFonts w:ascii="Times New Roman" w:cs="Times New Roman" w:eastAsia="Times New Roman" w:hAnsi="Times New Roman"/>
          <w:sz w:val="17"/>
          <w:szCs w:val="17"/>
          <w:color w:val="auto"/>
        </w:rPr>
      </w:pPr>
    </w:p>
    <w:p>
      <w:pPr>
        <w:ind w:left="4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organization;</w:t>
      </w:r>
    </w:p>
    <w:p>
      <w:pPr>
        <w:spacing w:after="0" w:line="168" w:lineRule="exact"/>
        <w:rPr>
          <w:rFonts w:ascii="Times New Roman" w:cs="Times New Roman" w:eastAsia="Times New Roman" w:hAnsi="Times New Roman"/>
          <w:sz w:val="17"/>
          <w:szCs w:val="17"/>
          <w:color w:val="auto"/>
        </w:rPr>
      </w:pPr>
    </w:p>
    <w:p>
      <w:pPr>
        <w:jc w:val="both"/>
        <w:ind w:left="400" w:firstLine="502"/>
        <w:spacing w:after="0" w:line="262" w:lineRule="auto"/>
        <w:tabs>
          <w:tab w:leader="none" w:pos="1313"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Person has all necessary power and authority to execute and deliver this Agreement and to perform its obligations hereunder and this Agreement will constitute, a legal, valid and binding obligation of Innovate, enforceable against Innovate in accordance with its terms, except as enforcement thereof may be limited against such Person by the Enforceability Exceptions;</w:t>
      </w:r>
    </w:p>
    <w:p>
      <w:pPr>
        <w:spacing w:after="0" w:line="134" w:lineRule="exact"/>
        <w:rPr>
          <w:rFonts w:ascii="Times New Roman" w:cs="Times New Roman" w:eastAsia="Times New Roman" w:hAnsi="Times New Roman"/>
          <w:sz w:val="17"/>
          <w:szCs w:val="17"/>
          <w:color w:val="auto"/>
        </w:rPr>
      </w:pPr>
    </w:p>
    <w:p>
      <w:pPr>
        <w:jc w:val="both"/>
        <w:ind w:left="400" w:firstLine="502"/>
        <w:spacing w:after="0" w:line="261" w:lineRule="auto"/>
        <w:tabs>
          <w:tab w:leader="none" w:pos="1347"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execution and delivery by such Person of this Agreement does not and the performance by such Person of this Agreement will not (1) conflict with or violate any provision of the Organizational Documents of such Person, (2) conflict with or violate any Order or Legal Requirement applicable to Innovate or by which any property or asset of Innovate is bound, (3) require any Consent by any Person under, result in a breach of or constitute a default (or an event that</w:t>
      </w:r>
    </w:p>
    <w:p>
      <w:pPr>
        <w:spacing w:after="0" w:line="200" w:lineRule="exact"/>
        <w:rPr>
          <w:sz w:val="20"/>
          <w:szCs w:val="20"/>
          <w:color w:val="auto"/>
        </w:rPr>
      </w:pPr>
    </w:p>
    <w:p>
      <w:pPr>
        <w:spacing w:after="0" w:line="36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0140"/>
          </w:cols>
          <w:pgMar w:left="1440" w:top="1148" w:right="319" w:bottom="1440" w:gutter="0" w:footer="0" w:header="0"/>
        </w:sectPr>
      </w:pPr>
    </w:p>
    <w:bookmarkStart w:id="212" w:name="page213"/>
    <w:bookmarkEnd w:id="212"/>
    <w:p>
      <w:pPr>
        <w:jc w:val="both"/>
        <w:ind w:left="400"/>
        <w:spacing w:after="0" w:line="257" w:lineRule="auto"/>
        <w:rPr>
          <w:sz w:val="20"/>
          <w:szCs w:val="20"/>
          <w:color w:val="auto"/>
        </w:rPr>
      </w:pPr>
      <w:r>
        <w:rPr>
          <w:rFonts w:ascii="Times New Roman" w:cs="Times New Roman" w:eastAsia="Times New Roman" w:hAnsi="Times New Roman"/>
          <w:sz w:val="17"/>
          <w:szCs w:val="17"/>
          <w:color w:val="auto"/>
        </w:rPr>
        <w:t>with notice or lapse of time or both would become a default) under or give to any other Person (immediately or with notice or lapse of time or both) any right of termination, amendment, acceleration or cancellation of, any Contract to which Innovate or any of its Affiliates is a party or by which such Person, or any property or asset of such Person or its Affiliates, is bound or (4) result (immediately or with notice or lapse of time or both) in the creation of any Lien on any property or asset of such Person or any of its Affiliates;</w:t>
      </w:r>
    </w:p>
    <w:p>
      <w:pPr>
        <w:spacing w:after="0" w:line="149" w:lineRule="exact"/>
        <w:rPr>
          <w:sz w:val="20"/>
          <w:szCs w:val="20"/>
          <w:color w:val="auto"/>
        </w:rPr>
      </w:pPr>
    </w:p>
    <w:p>
      <w:pPr>
        <w:jc w:val="both"/>
        <w:ind w:left="400" w:firstLine="502"/>
        <w:spacing w:after="0" w:line="262" w:lineRule="auto"/>
        <w:tabs>
          <w:tab w:leader="none" w:pos="1464"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would not reasonably be expected to prevent, materially delay or materially impair the consummation of the transactions contemplated hereby there (1) is no Legal Proceeding pending or, to the Knowledge of such Person, threatened against Innovate or its Affiliates and (2) are no Orders outstanding against such Person or its Affiliates;</w:t>
      </w:r>
    </w:p>
    <w:p>
      <w:pPr>
        <w:spacing w:after="0" w:line="134" w:lineRule="exact"/>
        <w:rPr>
          <w:rFonts w:ascii="Times New Roman" w:cs="Times New Roman" w:eastAsia="Times New Roman" w:hAnsi="Times New Roman"/>
          <w:sz w:val="17"/>
          <w:szCs w:val="17"/>
          <w:color w:val="auto"/>
        </w:rPr>
      </w:pPr>
    </w:p>
    <w:p>
      <w:pPr>
        <w:jc w:val="both"/>
        <w:ind w:left="400" w:firstLine="502"/>
        <w:spacing w:after="0" w:line="262" w:lineRule="auto"/>
        <w:tabs>
          <w:tab w:leader="none" w:pos="1306"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Innovate is not entering into this Agreement or exercising any Option with the intent to hinder, delay or defraud either present or future creditors, (2) after giving effect to the exercise of any Option, or any Partial Exercise, Innovate will be Solvent and (3) neither Innovate nor any of its Affiliates is subject to any insolvency or bankruptcy proceedings under applicable Legal Requirements;</w:t>
      </w:r>
    </w:p>
    <w:p>
      <w:pPr>
        <w:spacing w:after="0" w:line="144" w:lineRule="exact"/>
        <w:rPr>
          <w:rFonts w:ascii="Times New Roman" w:cs="Times New Roman" w:eastAsia="Times New Roman" w:hAnsi="Times New Roman"/>
          <w:sz w:val="17"/>
          <w:szCs w:val="17"/>
          <w:color w:val="auto"/>
        </w:rPr>
      </w:pPr>
    </w:p>
    <w:p>
      <w:pPr>
        <w:ind w:left="1320" w:hanging="418"/>
        <w:spacing w:after="0"/>
        <w:tabs>
          <w:tab w:leader="none" w:pos="1320"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Innovate is acquiring the Company Equity Interests as an investment for its own account and not with a view to the distribution</w:t>
      </w:r>
    </w:p>
    <w:p>
      <w:pPr>
        <w:spacing w:after="0" w:line="23" w:lineRule="exact"/>
        <w:rPr>
          <w:rFonts w:ascii="Times New Roman" w:cs="Times New Roman" w:eastAsia="Times New Roman" w:hAnsi="Times New Roman"/>
          <w:sz w:val="17"/>
          <w:szCs w:val="17"/>
          <w:color w:val="auto"/>
        </w:rPr>
      </w:pPr>
    </w:p>
    <w:p>
      <w:pPr>
        <w:ind w:left="4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thereof; and</w:t>
      </w:r>
    </w:p>
    <w:p>
      <w:pPr>
        <w:spacing w:after="0" w:line="158" w:lineRule="exact"/>
        <w:rPr>
          <w:rFonts w:ascii="Times New Roman" w:cs="Times New Roman" w:eastAsia="Times New Roman" w:hAnsi="Times New Roman"/>
          <w:sz w:val="17"/>
          <w:szCs w:val="17"/>
          <w:color w:val="auto"/>
        </w:rPr>
      </w:pPr>
    </w:p>
    <w:p>
      <w:pPr>
        <w:jc w:val="both"/>
        <w:ind w:left="400" w:firstLine="502"/>
        <w:spacing w:after="0" w:line="255" w:lineRule="auto"/>
        <w:tabs>
          <w:tab w:leader="none" w:pos="1388"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Innovate is an “accredited investor,” as defined in Rule 501 of Regulation D promulgated under the Securities Act. Innovate acknowledges that the Company Equity Interests have not been, and will not be, registered under the Securities Act, or any state Securities Laws, the offer and sale of the Company Equity Interests are being made in reliance on one or more exemptions for private offerings under Section 4(a)(2) of the Securities Act and certain exemptions from applicable state Securities Laws and understands and agrees that it may not sell, transfer, offer for sale, pledge, hypothecate or otherwise dispose of any such shares except pursuant to a registered offering in compliance with, or in a transaction exempt from, the registration requirements of the Securities Act and any other applicable Securities Laws.</w:t>
      </w:r>
    </w:p>
    <w:p>
      <w:pPr>
        <w:spacing w:after="0" w:line="175" w:lineRule="exact"/>
        <w:rPr>
          <w:rFonts w:ascii="Times New Roman" w:cs="Times New Roman" w:eastAsia="Times New Roman" w:hAnsi="Times New Roman"/>
          <w:sz w:val="17"/>
          <w:szCs w:val="17"/>
          <w:color w:val="auto"/>
        </w:rPr>
      </w:pPr>
    </w:p>
    <w:p>
      <w:pPr>
        <w:jc w:val="both"/>
        <w:ind w:left="-120" w:firstLine="513"/>
        <w:spacing w:after="0" w:line="268" w:lineRule="auto"/>
        <w:tabs>
          <w:tab w:leader="none" w:pos="868"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Subject to </w:t>
      </w:r>
      <w:r>
        <w:rPr>
          <w:rFonts w:ascii="Times New Roman" w:cs="Times New Roman" w:eastAsia="Times New Roman" w:hAnsi="Times New Roman"/>
          <w:sz w:val="17"/>
          <w:szCs w:val="17"/>
          <w:u w:val="single" w:color="auto"/>
          <w:color w:val="auto"/>
        </w:rPr>
        <w:t>Section 1(d)</w:t>
      </w:r>
      <w:r>
        <w:rPr>
          <w:rFonts w:ascii="Times New Roman" w:cs="Times New Roman" w:eastAsia="Times New Roman" w:hAnsi="Times New Roman"/>
          <w:sz w:val="17"/>
          <w:szCs w:val="17"/>
          <w:color w:val="auto"/>
        </w:rPr>
        <w:t xml:space="preserve"> below, the closing of any sale of Company Equity Interests pursuant to an Option Exercise Notice shall take place no later than 10 Business Days following receipt by Parent of an Option Exercise Notice. Parent and Innovate shall give the Company at least five Business Days’ written notice of each date of closing (each, an “</w:t>
      </w:r>
      <w:r>
        <w:rPr>
          <w:rFonts w:ascii="Times New Roman" w:cs="Times New Roman" w:eastAsia="Times New Roman" w:hAnsi="Times New Roman"/>
          <w:sz w:val="17"/>
          <w:szCs w:val="17"/>
          <w:b w:val="1"/>
          <w:bCs w:val="1"/>
          <w:color w:val="auto"/>
        </w:rPr>
        <w:t>Option Closing Date</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38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0140"/>
          </w:cols>
          <w:pgMar w:left="1440" w:top="1031" w:right="319" w:bottom="1440" w:gutter="0" w:footer="0" w:header="0"/>
        </w:sectPr>
      </w:pPr>
    </w:p>
    <w:bookmarkStart w:id="213" w:name="page214"/>
    <w:bookmarkEnd w:id="213"/>
    <w:p>
      <w:pPr>
        <w:ind w:left="860" w:hanging="357"/>
        <w:spacing w:after="0"/>
        <w:tabs>
          <w:tab w:leader="none" w:pos="86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Cooperation</w:t>
      </w:r>
      <w:r>
        <w:rPr>
          <w:rFonts w:ascii="Times New Roman" w:cs="Times New Roman" w:eastAsia="Times New Roman" w:hAnsi="Times New Roman"/>
          <w:sz w:val="17"/>
          <w:szCs w:val="17"/>
          <w:color w:val="auto"/>
        </w:rPr>
        <w:t>.</w:t>
      </w:r>
    </w:p>
    <w:p>
      <w:pPr>
        <w:spacing w:after="0" w:line="207" w:lineRule="exact"/>
        <w:rPr>
          <w:rFonts w:ascii="Times New Roman" w:cs="Times New Roman" w:eastAsia="Times New Roman" w:hAnsi="Times New Roman"/>
          <w:sz w:val="17"/>
          <w:szCs w:val="17"/>
          <w:color w:val="auto"/>
        </w:rPr>
      </w:pPr>
    </w:p>
    <w:p>
      <w:pPr>
        <w:jc w:val="both"/>
        <w:ind w:left="500" w:firstLine="513"/>
        <w:spacing w:after="0" w:line="268" w:lineRule="auto"/>
        <w:tabs>
          <w:tab w:leader="none" w:pos="1389"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of Parent, SPV LLC, Innovate, Innovate Parent and the Company, as applicable, at the request of another party hereto, shall, and shall cause their respective Affiliates, to execute, such further documents, and perform, or cause its Affiliates to perform, such further acts, as may be reasonably necessary or appropriate to consummate the transactions contemplated by the exercise of an Option pursuant to this </w:t>
      </w:r>
      <w:r>
        <w:rPr>
          <w:rFonts w:ascii="Times New Roman" w:cs="Times New Roman" w:eastAsia="Times New Roman" w:hAnsi="Times New Roman"/>
          <w:sz w:val="17"/>
          <w:szCs w:val="17"/>
          <w:u w:val="single" w:color="auto"/>
          <w:color w:val="auto"/>
        </w:rPr>
        <w:t>Section 1</w:t>
      </w:r>
      <w:r>
        <w:rPr>
          <w:rFonts w:ascii="Times New Roman" w:cs="Times New Roman" w:eastAsia="Times New Roman" w:hAnsi="Times New Roman"/>
          <w:sz w:val="17"/>
          <w:szCs w:val="17"/>
          <w:color w:val="auto"/>
        </w:rPr>
        <w:t>.</w:t>
      </w:r>
    </w:p>
    <w:p>
      <w:pPr>
        <w:spacing w:after="0" w:line="130" w:lineRule="exact"/>
        <w:rPr>
          <w:rFonts w:ascii="Times New Roman" w:cs="Times New Roman" w:eastAsia="Times New Roman" w:hAnsi="Times New Roman"/>
          <w:sz w:val="17"/>
          <w:szCs w:val="17"/>
          <w:color w:val="auto"/>
        </w:rPr>
      </w:pPr>
    </w:p>
    <w:p>
      <w:pPr>
        <w:jc w:val="both"/>
        <w:ind w:left="500" w:firstLine="513"/>
        <w:spacing w:after="0" w:line="253" w:lineRule="auto"/>
        <w:tabs>
          <w:tab w:leader="none" w:pos="1514"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Notwithstanding anything in this Agreement to the contrary, if either Parent or Innovate determines (acting in good faith and in consultation with its Tax advisers) that any exercise of the Option contemplated by this Agreement could be accomplished by an alternative method or structure than that contemplated in this Agreement (including by structuring such Option exercise as a contribution by Innovate of the applicable Exercise Amount to the Company in exchange for newly issued Company Equity Interests, followed by a redemption by the Company of an equal amount of Company Equity Interests held by Parent in exchange for an amount equal to such Exercise Amount) that does not materially adversely affect the other party, the parties shall collaborate reasonably and in good faith to agree to modify such method or structure and, if the parties agree upon such a modification, to effectuate such modification; provided, that nothing in this </w:t>
      </w:r>
      <w:r>
        <w:rPr>
          <w:rFonts w:ascii="Times New Roman" w:cs="Times New Roman" w:eastAsia="Times New Roman" w:hAnsi="Times New Roman"/>
          <w:sz w:val="17"/>
          <w:szCs w:val="17"/>
          <w:u w:val="single" w:color="auto"/>
          <w:color w:val="auto"/>
        </w:rPr>
        <w:t>Section 1(c)(ii)</w:t>
      </w:r>
      <w:r>
        <w:rPr>
          <w:rFonts w:ascii="Times New Roman" w:cs="Times New Roman" w:eastAsia="Times New Roman" w:hAnsi="Times New Roman"/>
          <w:sz w:val="17"/>
          <w:szCs w:val="17"/>
          <w:color w:val="auto"/>
        </w:rPr>
        <w:t xml:space="preserve"> shall be construed as to require any party to agree to any such proposed modification in method or structure.</w:t>
      </w:r>
    </w:p>
    <w:p>
      <w:pPr>
        <w:spacing w:after="0" w:line="186" w:lineRule="exact"/>
        <w:rPr>
          <w:rFonts w:ascii="Times New Roman" w:cs="Times New Roman" w:eastAsia="Times New Roman" w:hAnsi="Times New Roman"/>
          <w:sz w:val="17"/>
          <w:szCs w:val="17"/>
          <w:color w:val="auto"/>
        </w:rPr>
      </w:pPr>
    </w:p>
    <w:p>
      <w:pPr>
        <w:ind w:left="880" w:hanging="377"/>
        <w:spacing w:after="0"/>
        <w:tabs>
          <w:tab w:leader="none" w:pos="88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Closing</w:t>
      </w:r>
      <w:r>
        <w:rPr>
          <w:rFonts w:ascii="Times New Roman" w:cs="Times New Roman" w:eastAsia="Times New Roman" w:hAnsi="Times New Roman"/>
          <w:sz w:val="17"/>
          <w:szCs w:val="17"/>
          <w:color w:val="auto"/>
        </w:rPr>
        <w:t>. On each Option Closing Date:</w:t>
      </w:r>
    </w:p>
    <w:p>
      <w:pPr>
        <w:spacing w:after="0" w:line="207" w:lineRule="exact"/>
        <w:rPr>
          <w:rFonts w:ascii="Times New Roman" w:cs="Times New Roman" w:eastAsia="Times New Roman" w:hAnsi="Times New Roman"/>
          <w:sz w:val="17"/>
          <w:szCs w:val="17"/>
          <w:color w:val="auto"/>
        </w:rPr>
      </w:pPr>
    </w:p>
    <w:p>
      <w:pPr>
        <w:ind w:left="500" w:firstLine="513"/>
        <w:spacing w:after="0" w:line="276" w:lineRule="auto"/>
        <w:tabs>
          <w:tab w:leader="none" w:pos="1357"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Innovate shall pay the applicable Exercise Amount by wire transfer of immediately available funds to an account designated by Parent in writing to Innovate no later than two Business Days prior to the Option Closing Date.</w:t>
      </w:r>
    </w:p>
    <w:p>
      <w:pPr>
        <w:spacing w:after="0" w:line="123" w:lineRule="exact"/>
        <w:rPr>
          <w:rFonts w:ascii="Times New Roman" w:cs="Times New Roman" w:eastAsia="Times New Roman" w:hAnsi="Times New Roman"/>
          <w:sz w:val="17"/>
          <w:szCs w:val="17"/>
          <w:color w:val="auto"/>
        </w:rPr>
      </w:pPr>
    </w:p>
    <w:p>
      <w:pPr>
        <w:jc w:val="both"/>
        <w:ind w:left="500" w:firstLine="513"/>
        <w:spacing w:after="0" w:line="268" w:lineRule="auto"/>
        <w:tabs>
          <w:tab w:leader="none" w:pos="1454"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Parent shall deliver to Innovate any certificate or certificates representing the Company Equity Interests to be sold and, to the extent requested by Innovate in writing five Business Days prior to the applicable Option Closing Date, transfer powers and all necessary transfer taxes paid and stamps affixed, if necessary, against receipt of the Exercise Amount.</w:t>
      </w:r>
    </w:p>
    <w:p>
      <w:pPr>
        <w:spacing w:after="0" w:line="158" w:lineRule="exact"/>
        <w:rPr>
          <w:rFonts w:ascii="Times New Roman" w:cs="Times New Roman" w:eastAsia="Times New Roman" w:hAnsi="Times New Roman"/>
          <w:sz w:val="17"/>
          <w:szCs w:val="17"/>
          <w:color w:val="auto"/>
        </w:rPr>
      </w:pPr>
    </w:p>
    <w:p>
      <w:pPr>
        <w:jc w:val="both"/>
        <w:ind w:firstLine="503"/>
        <w:spacing w:after="0" w:line="256" w:lineRule="auto"/>
        <w:tabs>
          <w:tab w:leader="none" w:pos="878"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Partial Exercise</w:t>
      </w:r>
      <w:r>
        <w:rPr>
          <w:rFonts w:ascii="Times New Roman" w:cs="Times New Roman" w:eastAsia="Times New Roman" w:hAnsi="Times New Roman"/>
          <w:sz w:val="17"/>
          <w:szCs w:val="17"/>
          <w:color w:val="auto"/>
        </w:rPr>
        <w:t>. If Innovate exercises the Option for less than the full Remaining Option Purchase Price (a “</w:t>
      </w:r>
      <w:r>
        <w:rPr>
          <w:rFonts w:ascii="Times New Roman" w:cs="Times New Roman" w:eastAsia="Times New Roman" w:hAnsi="Times New Roman"/>
          <w:sz w:val="17"/>
          <w:szCs w:val="17"/>
          <w:b w:val="1"/>
          <w:bCs w:val="1"/>
          <w:color w:val="auto"/>
        </w:rPr>
        <w:t>Partial Exercise</w:t>
      </w:r>
      <w:r>
        <w:rPr>
          <w:rFonts w:ascii="Times New Roman" w:cs="Times New Roman" w:eastAsia="Times New Roman" w:hAnsi="Times New Roman"/>
          <w:sz w:val="17"/>
          <w:szCs w:val="17"/>
          <w:color w:val="auto"/>
        </w:rPr>
        <w:t xml:space="preserve">”), the Option shall continue in full force and effect with respect to the unused Remaining Option Purchase Price;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that in connection with any Partial Exercise, the Exercise Amount shall be at least $1,000,000 unless prior to such Partial Exercise the Remaining Option Purchase Price is less than $1,000,000, in which event, the Exercise Amount shall be for an amount equal to the Remaining Option Purchase Price. For the avoidance of doubt, Innovate may deliver multiple Option Exercise Notices prior to the Option Expiration Date, each of which shall be treated as a separate exercise of the Option subject to the terms and conditions of this Agreement.</w:t>
      </w:r>
    </w:p>
    <w:p>
      <w:pPr>
        <w:spacing w:after="0" w:line="200" w:lineRule="exact"/>
        <w:rPr>
          <w:sz w:val="20"/>
          <w:szCs w:val="20"/>
          <w:color w:val="auto"/>
        </w:rPr>
      </w:pPr>
    </w:p>
    <w:p>
      <w:pPr>
        <w:spacing w:after="0" w:line="399"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0760"/>
          </w:cols>
          <w:pgMar w:left="820" w:top="1148" w:right="319" w:bottom="1440" w:gutter="0" w:footer="0" w:header="0"/>
        </w:sectPr>
      </w:pPr>
    </w:p>
    <w:bookmarkStart w:id="214" w:name="page215"/>
    <w:bookmarkEnd w:id="214"/>
    <w:p>
      <w:pPr>
        <w:jc w:val="both"/>
        <w:ind w:left="6" w:firstLine="503"/>
        <w:spacing w:after="0" w:line="253" w:lineRule="auto"/>
        <w:tabs>
          <w:tab w:leader="none" w:pos="865"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Certification of Fully Diluted Equity Interests</w:t>
      </w:r>
      <w:r>
        <w:rPr>
          <w:rFonts w:ascii="Times New Roman" w:cs="Times New Roman" w:eastAsia="Times New Roman" w:hAnsi="Times New Roman"/>
          <w:sz w:val="17"/>
          <w:szCs w:val="17"/>
          <w:color w:val="auto"/>
        </w:rPr>
        <w:t>. Within three Business Days following receipt of an Option Exercise Notice, Parent shall cause the Company to deliver to Innovate a written certificate, signed by the Company’s Chief Financial Officer or another duly authorized officer setting forth (i) the total number of Fully Diluted Equity Interests as of the date of such Option Exercise Notice, (ii) a reasonably detailed calculation of the number of such Fully Diluted Equity Interests, and (iii) the resulting number of Company Equity Interests to be sold by Parent to Innovate (each such certificate, a “</w:t>
      </w:r>
      <w:r>
        <w:rPr>
          <w:rFonts w:ascii="Times New Roman" w:cs="Times New Roman" w:eastAsia="Times New Roman" w:hAnsi="Times New Roman"/>
          <w:sz w:val="17"/>
          <w:szCs w:val="17"/>
          <w:b w:val="1"/>
          <w:bCs w:val="1"/>
          <w:color w:val="auto"/>
        </w:rPr>
        <w:t>Fully Diluted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Equity Interests Certificate</w:t>
      </w:r>
      <w:r>
        <w:rPr>
          <w:rFonts w:ascii="Times New Roman" w:cs="Times New Roman" w:eastAsia="Times New Roman" w:hAnsi="Times New Roman"/>
          <w:sz w:val="17"/>
          <w:szCs w:val="17"/>
          <w:color w:val="auto"/>
        </w:rPr>
        <w:t>”). For the purposes of this Agreement, “</w:t>
      </w:r>
      <w:r>
        <w:rPr>
          <w:rFonts w:ascii="Times New Roman" w:cs="Times New Roman" w:eastAsia="Times New Roman" w:hAnsi="Times New Roman"/>
          <w:sz w:val="17"/>
          <w:szCs w:val="17"/>
          <w:b w:val="1"/>
          <w:bCs w:val="1"/>
          <w:color w:val="auto"/>
        </w:rPr>
        <w:t>Fully Diluted Basis</w:t>
      </w:r>
      <w:r>
        <w:rPr>
          <w:rFonts w:ascii="Times New Roman" w:cs="Times New Roman" w:eastAsia="Times New Roman" w:hAnsi="Times New Roman"/>
          <w:sz w:val="17"/>
          <w:szCs w:val="17"/>
          <w:color w:val="auto"/>
        </w:rPr>
        <w:t>” means, with respect to any Person, as of the applicable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measurement date all issued and outstanding share capital of any class, warrants, options, convertible loans, rights and convertible securities of such person, all on an as-if exercised and as-converted basis (including all rights and promises of any kind that would directly or indirectly result in any right to receive or purchase any of the foregoing).</w:t>
      </w:r>
    </w:p>
    <w:p>
      <w:pPr>
        <w:spacing w:after="0" w:line="186" w:lineRule="exact"/>
        <w:rPr>
          <w:rFonts w:ascii="Times New Roman" w:cs="Times New Roman" w:eastAsia="Times New Roman" w:hAnsi="Times New Roman"/>
          <w:sz w:val="17"/>
          <w:szCs w:val="17"/>
          <w:color w:val="auto"/>
        </w:rPr>
      </w:pPr>
    </w:p>
    <w:p>
      <w:pPr>
        <w:ind w:left="6" w:firstLine="503"/>
        <w:spacing w:after="0" w:line="276" w:lineRule="auto"/>
        <w:tabs>
          <w:tab w:leader="none" w:pos="883"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Encumbrance</w:t>
      </w:r>
      <w:r>
        <w:rPr>
          <w:rFonts w:ascii="Times New Roman" w:cs="Times New Roman" w:eastAsia="Times New Roman" w:hAnsi="Times New Roman"/>
          <w:sz w:val="17"/>
          <w:szCs w:val="17"/>
          <w:color w:val="auto"/>
        </w:rPr>
        <w:t>. From and after the Closing and until the Option Termination Date, Parent shall not pledge, encumber or otherwise subject to a Lien (other than a Permitted Lien) the Company Equity Interests.</w:t>
      </w:r>
    </w:p>
    <w:p>
      <w:pPr>
        <w:spacing w:after="0" w:line="155" w:lineRule="exact"/>
        <w:rPr>
          <w:rFonts w:ascii="Times New Roman" w:cs="Times New Roman" w:eastAsia="Times New Roman" w:hAnsi="Times New Roman"/>
          <w:sz w:val="17"/>
          <w:szCs w:val="17"/>
          <w:color w:val="auto"/>
        </w:rPr>
      </w:pPr>
    </w:p>
    <w:p>
      <w:pPr>
        <w:ind w:left="306" w:hanging="306"/>
        <w:spacing w:after="0"/>
        <w:tabs>
          <w:tab w:leader="none" w:pos="306"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Option Purchase Price</w:t>
      </w:r>
      <w:r>
        <w:rPr>
          <w:rFonts w:ascii="Times New Roman" w:cs="Times New Roman" w:eastAsia="Times New Roman" w:hAnsi="Times New Roman"/>
          <w:sz w:val="17"/>
          <w:szCs w:val="17"/>
          <w:color w:val="auto"/>
        </w:rPr>
        <w:t>.</w:t>
      </w:r>
    </w:p>
    <w:p>
      <w:pPr>
        <w:spacing w:after="0" w:line="218" w:lineRule="exact"/>
        <w:rPr>
          <w:rFonts w:ascii="Times New Roman" w:cs="Times New Roman" w:eastAsia="Times New Roman" w:hAnsi="Times New Roman"/>
          <w:sz w:val="17"/>
          <w:szCs w:val="17"/>
          <w:color w:val="auto"/>
        </w:rPr>
      </w:pPr>
    </w:p>
    <w:p>
      <w:pPr>
        <w:ind w:left="6" w:firstLine="503"/>
        <w:spacing w:after="0" w:line="276" w:lineRule="auto"/>
        <w:tabs>
          <w:tab w:leader="none" w:pos="979" w:val="left"/>
        </w:tabs>
        <w:numPr>
          <w:ilvl w:val="1"/>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Aggregate Option Purchase Price</w:t>
      </w:r>
      <w:r>
        <w:rPr>
          <w:rFonts w:ascii="Times New Roman" w:cs="Times New Roman" w:eastAsia="Times New Roman" w:hAnsi="Times New Roman"/>
          <w:sz w:val="17"/>
          <w:szCs w:val="17"/>
          <w:color w:val="auto"/>
        </w:rPr>
        <w:t>. The maximum aggregate amount available for the exercise of the Option shall be $45,000,000.00 (the “</w:t>
      </w:r>
      <w:r>
        <w:rPr>
          <w:rFonts w:ascii="Times New Roman" w:cs="Times New Roman" w:eastAsia="Times New Roman" w:hAnsi="Times New Roman"/>
          <w:sz w:val="17"/>
          <w:szCs w:val="17"/>
          <w:b w:val="1"/>
          <w:bCs w:val="1"/>
          <w:color w:val="auto"/>
        </w:rPr>
        <w:t>Aggregate Option Purchase Price</w:t>
      </w:r>
      <w:r>
        <w:rPr>
          <w:rFonts w:ascii="Times New Roman" w:cs="Times New Roman" w:eastAsia="Times New Roman" w:hAnsi="Times New Roman"/>
          <w:sz w:val="17"/>
          <w:szCs w:val="17"/>
          <w:color w:val="auto"/>
        </w:rPr>
        <w:t>”).</w:t>
      </w:r>
    </w:p>
    <w:p>
      <w:pPr>
        <w:spacing w:after="0" w:line="119" w:lineRule="exact"/>
        <w:rPr>
          <w:rFonts w:ascii="Times New Roman" w:cs="Times New Roman" w:eastAsia="Times New Roman" w:hAnsi="Times New Roman"/>
          <w:sz w:val="17"/>
          <w:szCs w:val="17"/>
          <w:color w:val="auto"/>
        </w:rPr>
      </w:pPr>
    </w:p>
    <w:p>
      <w:pPr>
        <w:jc w:val="both"/>
        <w:ind w:left="6" w:firstLine="503"/>
        <w:spacing w:after="0" w:line="264" w:lineRule="auto"/>
        <w:tabs>
          <w:tab w:leader="none" w:pos="915" w:val="left"/>
        </w:tabs>
        <w:numPr>
          <w:ilvl w:val="1"/>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Remaining Option Purchase Price</w:t>
      </w:r>
      <w:r>
        <w:rPr>
          <w:rFonts w:ascii="Times New Roman" w:cs="Times New Roman" w:eastAsia="Times New Roman" w:hAnsi="Times New Roman"/>
          <w:sz w:val="17"/>
          <w:szCs w:val="17"/>
          <w:color w:val="auto"/>
        </w:rPr>
        <w:t>. The “</w:t>
      </w:r>
      <w:r>
        <w:rPr>
          <w:rFonts w:ascii="Times New Roman" w:cs="Times New Roman" w:eastAsia="Times New Roman" w:hAnsi="Times New Roman"/>
          <w:sz w:val="17"/>
          <w:szCs w:val="17"/>
          <w:b w:val="1"/>
          <w:bCs w:val="1"/>
          <w:color w:val="auto"/>
        </w:rPr>
        <w:t>Remaining Option Purchase Price</w:t>
      </w:r>
      <w:r>
        <w:rPr>
          <w:rFonts w:ascii="Times New Roman" w:cs="Times New Roman" w:eastAsia="Times New Roman" w:hAnsi="Times New Roman"/>
          <w:sz w:val="17"/>
          <w:szCs w:val="17"/>
          <w:color w:val="auto"/>
        </w:rPr>
        <w:t>” shall initially equal the Aggregate Option Purchase Price. Upon each exercise of the Option, the Remaining Option Purchase Price shall be reduced by the Exercise Amount paid or to be paid by Innovate in connection with such exercise.</w:t>
      </w:r>
    </w:p>
    <w:p>
      <w:pPr>
        <w:spacing w:after="0" w:line="144" w:lineRule="exact"/>
        <w:rPr>
          <w:rFonts w:ascii="Times New Roman" w:cs="Times New Roman" w:eastAsia="Times New Roman" w:hAnsi="Times New Roman"/>
          <w:sz w:val="17"/>
          <w:szCs w:val="17"/>
          <w:color w:val="auto"/>
        </w:rPr>
      </w:pPr>
    </w:p>
    <w:p>
      <w:pPr>
        <w:jc w:val="both"/>
        <w:ind w:left="6" w:firstLine="503"/>
        <w:spacing w:after="0" w:line="253" w:lineRule="auto"/>
        <w:tabs>
          <w:tab w:leader="none" w:pos="926" w:val="left"/>
        </w:tabs>
        <w:numPr>
          <w:ilvl w:val="1"/>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Determination of Number of Purchased Company Equity Interests</w:t>
      </w:r>
      <w:r>
        <w:rPr>
          <w:rFonts w:ascii="Times New Roman" w:cs="Times New Roman" w:eastAsia="Times New Roman" w:hAnsi="Times New Roman"/>
          <w:sz w:val="17"/>
          <w:szCs w:val="17"/>
          <w:color w:val="auto"/>
        </w:rPr>
        <w:t xml:space="preserve">. The number of Company Equity Interests to be purchased from Parent by Innovate upon each exercise of the Option shall be an amount equal to (i) the quotient of (A) the applicable Exercise Amount </w:t>
      </w:r>
      <w:r>
        <w:rPr>
          <w:rFonts w:ascii="Times New Roman" w:cs="Times New Roman" w:eastAsia="Times New Roman" w:hAnsi="Times New Roman"/>
          <w:sz w:val="17"/>
          <w:szCs w:val="17"/>
          <w:i w:val="1"/>
          <w:iCs w:val="1"/>
          <w:color w:val="auto"/>
        </w:rPr>
        <w:t>divided by</w:t>
      </w:r>
      <w:r>
        <w:rPr>
          <w:rFonts w:ascii="Times New Roman" w:cs="Times New Roman" w:eastAsia="Times New Roman" w:hAnsi="Times New Roman"/>
          <w:sz w:val="17"/>
          <w:szCs w:val="17"/>
          <w:color w:val="auto"/>
        </w:rPr>
        <w:t xml:space="preserve"> (B) $300,000,000.00 </w:t>
      </w:r>
      <w:r>
        <w:rPr>
          <w:rFonts w:ascii="Times New Roman" w:cs="Times New Roman" w:eastAsia="Times New Roman" w:hAnsi="Times New Roman"/>
          <w:sz w:val="17"/>
          <w:szCs w:val="17"/>
          <w:i w:val="1"/>
          <w:iCs w:val="1"/>
          <w:color w:val="auto"/>
        </w:rPr>
        <w:t xml:space="preserve">multiplied by </w:t>
      </w:r>
      <w:r>
        <w:rPr>
          <w:rFonts w:ascii="Times New Roman" w:cs="Times New Roman" w:eastAsia="Times New Roman" w:hAnsi="Times New Roman"/>
          <w:sz w:val="17"/>
          <w:szCs w:val="17"/>
          <w:color w:val="auto"/>
        </w:rPr>
        <w:t>(ii) the then applicable number of Fully Diluted Equity Interests. For the purposes of this Agreement, “</w:t>
      </w:r>
      <w:r>
        <w:rPr>
          <w:rFonts w:ascii="Times New Roman" w:cs="Times New Roman" w:eastAsia="Times New Roman" w:hAnsi="Times New Roman"/>
          <w:sz w:val="17"/>
          <w:szCs w:val="17"/>
          <w:b w:val="1"/>
          <w:bCs w:val="1"/>
          <w:color w:val="auto"/>
        </w:rPr>
        <w:t>Fully Diluted Equity Interests</w:t>
      </w:r>
      <w:r>
        <w:rPr>
          <w:rFonts w:ascii="Times New Roman" w:cs="Times New Roman" w:eastAsia="Times New Roman" w:hAnsi="Times New Roman"/>
          <w:sz w:val="17"/>
          <w:szCs w:val="17"/>
          <w:color w:val="auto"/>
        </w:rPr>
        <w:t>” means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total number of Company Equity Interests outstanding on a Fully Diluted Basis as of the date of the applicable Option Exercise Notice. For the avoidance of doubt, because the number of Fully Diluted Equity Interests may change between exercises, the aggregate percentage of Company Equity Interests acquired by Innovate across all exercises of the Option may be more or less than 15% of the Fully Diluted Equity Interests as of the date of this Agreement.</w:t>
      </w:r>
    </w:p>
    <w:p>
      <w:pPr>
        <w:spacing w:after="0" w:line="153" w:lineRule="exact"/>
        <w:rPr>
          <w:rFonts w:ascii="Times New Roman" w:cs="Times New Roman" w:eastAsia="Times New Roman" w:hAnsi="Times New Roman"/>
          <w:sz w:val="17"/>
          <w:szCs w:val="17"/>
          <w:color w:val="auto"/>
        </w:rPr>
      </w:pPr>
    </w:p>
    <w:p>
      <w:pPr>
        <w:ind w:left="306" w:hanging="306"/>
        <w:spacing w:after="0"/>
        <w:tabs>
          <w:tab w:leader="none" w:pos="306"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Use of Net Cash Proceeds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494"/>
        <w:spacing w:after="0"/>
        <w:rPr>
          <w:sz w:val="20"/>
          <w:szCs w:val="20"/>
          <w:color w:val="auto"/>
        </w:rPr>
      </w:pPr>
      <w:r>
        <w:rPr>
          <w:rFonts w:ascii="Times New Roman" w:cs="Times New Roman" w:eastAsia="Times New Roman" w:hAnsi="Times New Roman"/>
          <w:sz w:val="17"/>
          <w:szCs w:val="17"/>
          <w:color w:val="auto"/>
        </w:rPr>
        <w:t>5</w:t>
      </w:r>
    </w:p>
    <w:p>
      <w:pPr>
        <w:sectPr>
          <w:pgSz w:w="11900" w:h="16838" w:orient="portrait"/>
          <w:cols w:equalWidth="0" w:num="1">
            <w:col w:w="10766"/>
          </w:cols>
          <w:pgMar w:left="814" w:top="1148" w:right="319" w:bottom="1440" w:gutter="0" w:footer="0" w:header="0"/>
        </w:sectPr>
      </w:pPr>
    </w:p>
    <w:bookmarkStart w:id="215" w:name="page216"/>
    <w:bookmarkEnd w:id="215"/>
    <w:p>
      <w:pPr>
        <w:jc w:val="both"/>
        <w:ind w:firstLine="503"/>
        <w:spacing w:after="0" w:line="258" w:lineRule="auto"/>
        <w:tabs>
          <w:tab w:leader="none" w:pos="878"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Pre-Closing Asset Sales</w:t>
      </w:r>
      <w:r>
        <w:rPr>
          <w:rFonts w:ascii="Times New Roman" w:cs="Times New Roman" w:eastAsia="Times New Roman" w:hAnsi="Times New Roman"/>
          <w:sz w:val="17"/>
          <w:szCs w:val="17"/>
          <w:color w:val="auto"/>
        </w:rPr>
        <w:t xml:space="preserve">. From the date hereof until the Closing Date, in the event that Innovate Parent or any of its Affiliates consummates, and receives proceeds from, any Asset Sale, Innovate Parent shall not, and shall cause its subsidiaries not to, use any Net Cash Proceeds from such Asset Sale for any purpose prior to the Closing Date. Within 10 Business Days following the Closing Date, Innovate Parent shall cause Innovate to apply an amount equal to such Net Cash Proceeds to exercise the Option pursuant to, and in accordance with the terms and conditions of, </w:t>
      </w:r>
      <w:r>
        <w:rPr>
          <w:rFonts w:ascii="Times New Roman" w:cs="Times New Roman" w:eastAsia="Times New Roman" w:hAnsi="Times New Roman"/>
          <w:sz w:val="17"/>
          <w:szCs w:val="17"/>
          <w:u w:val="single" w:color="auto"/>
          <w:color w:val="auto"/>
        </w:rPr>
        <w:t>Section 1</w:t>
      </w:r>
      <w:r>
        <w:rPr>
          <w:rFonts w:ascii="Times New Roman" w:cs="Times New Roman" w:eastAsia="Times New Roman" w:hAnsi="Times New Roman"/>
          <w:sz w:val="17"/>
          <w:szCs w:val="17"/>
          <w:color w:val="auto"/>
        </w:rPr>
        <w:t xml:space="preserve"> of this Agreement, by delivering an Option Exercise Notice specifying an Exercise Amount equal to or greater than such Net Cash Proceeds.</w:t>
      </w:r>
    </w:p>
    <w:p>
      <w:pPr>
        <w:spacing w:after="0" w:line="137" w:lineRule="exact"/>
        <w:rPr>
          <w:rFonts w:ascii="Times New Roman" w:cs="Times New Roman" w:eastAsia="Times New Roman" w:hAnsi="Times New Roman"/>
          <w:sz w:val="17"/>
          <w:szCs w:val="17"/>
          <w:color w:val="auto"/>
        </w:rPr>
      </w:pPr>
    </w:p>
    <w:p>
      <w:pPr>
        <w:jc w:val="both"/>
        <w:ind w:firstLine="503"/>
        <w:spacing w:after="0" w:line="255" w:lineRule="auto"/>
        <w:tabs>
          <w:tab w:leader="none" w:pos="93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Post-Closing Asset Sales</w:t>
      </w:r>
      <w:r>
        <w:rPr>
          <w:rFonts w:ascii="Times New Roman" w:cs="Times New Roman" w:eastAsia="Times New Roman" w:hAnsi="Times New Roman"/>
          <w:sz w:val="17"/>
          <w:szCs w:val="17"/>
          <w:color w:val="auto"/>
        </w:rPr>
        <w:t xml:space="preserve">. From the Closing Date until the Option Termination Date, in the event that Innovate Parent or any of its Affiliates consummates, and receives proceeds from, any Asset Sale, Innovate Parent shall cause Innovate to, within 10 Business Days following receipt of Net Cash Proceeds from such Asset Sale, apply an amount equal to the Net Cash Proceeds therefrom to exercise the Option pursuant to, and in accordance with the terms and conditions of, </w:t>
      </w:r>
      <w:r>
        <w:rPr>
          <w:rFonts w:ascii="Times New Roman" w:cs="Times New Roman" w:eastAsia="Times New Roman" w:hAnsi="Times New Roman"/>
          <w:sz w:val="17"/>
          <w:szCs w:val="17"/>
          <w:u w:val="single" w:color="auto"/>
          <w:color w:val="auto"/>
        </w:rPr>
        <w:t>Section 1</w:t>
      </w:r>
      <w:r>
        <w:rPr>
          <w:rFonts w:ascii="Times New Roman" w:cs="Times New Roman" w:eastAsia="Times New Roman" w:hAnsi="Times New Roman"/>
          <w:sz w:val="17"/>
          <w:szCs w:val="17"/>
          <w:color w:val="auto"/>
        </w:rPr>
        <w:t xml:space="preserve"> of this Agreement, by delivering an Option Exercise Notice specifying an Exercise Amount equal to or greater than such Net Cash Proceeds, and, prior to the consummation of any such Option, Innovate Parent shall not, and shall cause its subsidiaries not to, use any Net Cash Proceeds for any other purpose.</w:t>
      </w:r>
    </w:p>
    <w:p>
      <w:pPr>
        <w:spacing w:after="0" w:line="143" w:lineRule="exact"/>
        <w:rPr>
          <w:rFonts w:ascii="Times New Roman" w:cs="Times New Roman" w:eastAsia="Times New Roman" w:hAnsi="Times New Roman"/>
          <w:sz w:val="17"/>
          <w:szCs w:val="17"/>
          <w:color w:val="auto"/>
        </w:rPr>
      </w:pPr>
    </w:p>
    <w:p>
      <w:pPr>
        <w:jc w:val="both"/>
        <w:ind w:firstLine="503"/>
        <w:spacing w:after="0" w:line="262" w:lineRule="auto"/>
        <w:tabs>
          <w:tab w:leader="none" w:pos="914"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Innovate Parent’s aggregate obligation to apply Net Cash Proceeds to the exercise of the Option under </w:t>
      </w:r>
      <w:r>
        <w:rPr>
          <w:rFonts w:ascii="Times New Roman" w:cs="Times New Roman" w:eastAsia="Times New Roman" w:hAnsi="Times New Roman"/>
          <w:sz w:val="17"/>
          <w:szCs w:val="17"/>
          <w:u w:val="single" w:color="auto"/>
          <w:color w:val="auto"/>
        </w:rPr>
        <w:t>Section 3(a)</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3(b)</w:t>
      </w:r>
      <w:r>
        <w:rPr>
          <w:rFonts w:ascii="Times New Roman" w:cs="Times New Roman" w:eastAsia="Times New Roman" w:hAnsi="Times New Roman"/>
          <w:sz w:val="17"/>
          <w:szCs w:val="17"/>
          <w:color w:val="auto"/>
        </w:rPr>
        <w:t xml:space="preserve"> shall not exceed the Remaining Option Purchase Price. For the avoidance of doubt, nothing in </w:t>
      </w:r>
      <w:r>
        <w:rPr>
          <w:rFonts w:ascii="Times New Roman" w:cs="Times New Roman" w:eastAsia="Times New Roman" w:hAnsi="Times New Roman"/>
          <w:sz w:val="17"/>
          <w:szCs w:val="17"/>
          <w:u w:val="single" w:color="auto"/>
          <w:color w:val="auto"/>
        </w:rPr>
        <w:t>Section 3(a)</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3(b)</w:t>
      </w:r>
      <w:r>
        <w:rPr>
          <w:rFonts w:ascii="Times New Roman" w:cs="Times New Roman" w:eastAsia="Times New Roman" w:hAnsi="Times New Roman"/>
          <w:sz w:val="17"/>
          <w:szCs w:val="17"/>
          <w:color w:val="auto"/>
        </w:rPr>
        <w:t xml:space="preserve"> shall require Innovate Parent or any of its Affiliates to consummate any Asset Sale.</w:t>
      </w:r>
    </w:p>
    <w:p>
      <w:pPr>
        <w:spacing w:after="0" w:line="134" w:lineRule="exact"/>
        <w:rPr>
          <w:rFonts w:ascii="Times New Roman" w:cs="Times New Roman" w:eastAsia="Times New Roman" w:hAnsi="Times New Roman"/>
          <w:sz w:val="17"/>
          <w:szCs w:val="17"/>
          <w:color w:val="auto"/>
        </w:rPr>
      </w:pPr>
    </w:p>
    <w:p>
      <w:pPr>
        <w:jc w:val="both"/>
        <w:ind w:firstLine="503"/>
        <w:spacing w:after="0" w:line="258" w:lineRule="auto"/>
        <w:tabs>
          <w:tab w:leader="none" w:pos="956"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For purposes of this </w:t>
      </w:r>
      <w:r>
        <w:rPr>
          <w:rFonts w:ascii="Times New Roman" w:cs="Times New Roman" w:eastAsia="Times New Roman" w:hAnsi="Times New Roman"/>
          <w:sz w:val="17"/>
          <w:szCs w:val="17"/>
          <w:u w:val="single" w:color="auto"/>
          <w:color w:val="auto"/>
        </w:rPr>
        <w:t>Section 3</w:t>
      </w:r>
      <w:r>
        <w:rPr>
          <w:rFonts w:ascii="Times New Roman" w:cs="Times New Roman" w:eastAsia="Times New Roman" w:hAnsi="Times New Roman"/>
          <w:sz w:val="17"/>
          <w:szCs w:val="17"/>
          <w:color w:val="auto"/>
        </w:rPr>
        <w:t xml:space="preserve">, the following terms shall have the meanings set forth below. Capitalized terms used but not defined in this </w:t>
      </w:r>
      <w:r>
        <w:rPr>
          <w:rFonts w:ascii="Times New Roman" w:cs="Times New Roman" w:eastAsia="Times New Roman" w:hAnsi="Times New Roman"/>
          <w:sz w:val="17"/>
          <w:szCs w:val="17"/>
          <w:u w:val="single" w:color="auto"/>
          <w:color w:val="auto"/>
        </w:rPr>
        <w:t>Section 3(d)</w:t>
      </w:r>
      <w:r>
        <w:rPr>
          <w:rFonts w:ascii="Times New Roman" w:cs="Times New Roman" w:eastAsia="Times New Roman" w:hAnsi="Times New Roman"/>
          <w:sz w:val="17"/>
          <w:szCs w:val="17"/>
          <w:color w:val="auto"/>
        </w:rPr>
        <w:t xml:space="preserve"> shall have the meanings ascribed to them in Innovate Parent’s Indenture governing those certain 10.500% senior secured notes due 2027, dated as of August 4, 2025, by and among INNOVATE Corp., the guarantors party thereto and U.S. Bank Trust Company, National Association (incorporated by reference to Exhibit 4.1 to Innovate’s Current Report on Form 8-K filed on August 5, 2025), as in effect as of the date of the Merger Agreement (the “</w:t>
      </w:r>
      <w:r>
        <w:rPr>
          <w:rFonts w:ascii="Times New Roman" w:cs="Times New Roman" w:eastAsia="Times New Roman" w:hAnsi="Times New Roman"/>
          <w:sz w:val="17"/>
          <w:szCs w:val="17"/>
          <w:b w:val="1"/>
          <w:bCs w:val="1"/>
          <w:color w:val="auto"/>
        </w:rPr>
        <w:t>Indenture</w:t>
      </w:r>
      <w:r>
        <w:rPr>
          <w:rFonts w:ascii="Times New Roman" w:cs="Times New Roman" w:eastAsia="Times New Roman" w:hAnsi="Times New Roman"/>
          <w:sz w:val="17"/>
          <w:szCs w:val="17"/>
          <w:color w:val="auto"/>
        </w:rPr>
        <w:t>”).</w:t>
      </w:r>
    </w:p>
    <w:p>
      <w:pPr>
        <w:spacing w:after="0" w:line="133" w:lineRule="exact"/>
        <w:rPr>
          <w:rFonts w:ascii="Times New Roman" w:cs="Times New Roman" w:eastAsia="Times New Roman" w:hAnsi="Times New Roman"/>
          <w:sz w:val="17"/>
          <w:szCs w:val="17"/>
          <w:color w:val="auto"/>
        </w:rPr>
      </w:pPr>
    </w:p>
    <w:p>
      <w:pPr>
        <w:jc w:val="both"/>
        <w:ind w:left="500" w:firstLine="513"/>
        <w:spacing w:after="0" w:line="263" w:lineRule="auto"/>
        <w:tabs>
          <w:tab w:leader="none" w:pos="1414" w:val="left"/>
        </w:tabs>
        <w:numPr>
          <w:ilvl w:val="1"/>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Asset Sale</w:t>
      </w:r>
      <w:r>
        <w:rPr>
          <w:rFonts w:ascii="Times New Roman" w:cs="Times New Roman" w:eastAsia="Times New Roman" w:hAnsi="Times New Roman"/>
          <w:sz w:val="17"/>
          <w:szCs w:val="17"/>
          <w:color w:val="auto"/>
        </w:rPr>
        <w:t xml:space="preserve">” means any sale, lease, transfer, contribution, abandonment or other disposition of any assets by Innovate Parent or any Subsidiary, including by means of a merger, consolidation or similar transaction and including any sale, transfer, contribution or other disposition by Innovate Parent or any Subsidiary of the Equity Interests of any Subsidiary (each of the above referred to as a “disposition”),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following are not included in the definition of “Asset Sale”:</w:t>
      </w:r>
    </w:p>
    <w:p>
      <w:pPr>
        <w:spacing w:after="0" w:line="133" w:lineRule="exact"/>
        <w:rPr>
          <w:rFonts w:ascii="Times New Roman" w:cs="Times New Roman" w:eastAsia="Times New Roman" w:hAnsi="Times New Roman"/>
          <w:sz w:val="17"/>
          <w:szCs w:val="17"/>
          <w:color w:val="auto"/>
        </w:rPr>
      </w:pPr>
    </w:p>
    <w:p>
      <w:pPr>
        <w:ind w:left="1020" w:firstLine="502"/>
        <w:spacing w:after="0" w:line="276" w:lineRule="auto"/>
        <w:tabs>
          <w:tab w:leader="none" w:pos="1945" w:val="left"/>
        </w:tabs>
        <w:numPr>
          <w:ilvl w:val="2"/>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disposition (i) to Innovate Parent, including the sale or issuance by Innovate Parent or any Subsidiary of any Equity Interests of any Subsidiary to Innovate Parent or (ii) from any Subsidiary to any other</w:t>
      </w:r>
    </w:p>
    <w:p>
      <w:pPr>
        <w:spacing w:after="0" w:line="200" w:lineRule="exact"/>
        <w:rPr>
          <w:sz w:val="20"/>
          <w:szCs w:val="20"/>
          <w:color w:val="auto"/>
        </w:rPr>
      </w:pPr>
    </w:p>
    <w:p>
      <w:pPr>
        <w:spacing w:after="0" w:line="348"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7"/>
          <w:szCs w:val="17"/>
          <w:color w:val="auto"/>
        </w:rPr>
        <w:t>6</w:t>
      </w:r>
    </w:p>
    <w:p>
      <w:pPr>
        <w:sectPr>
          <w:pgSz w:w="11900" w:h="16838" w:orient="portrait"/>
          <w:cols w:equalWidth="0" w:num="1">
            <w:col w:w="10760"/>
          </w:cols>
          <w:pgMar w:left="820" w:top="1031" w:right="319" w:bottom="1440" w:gutter="0" w:footer="0" w:header="0"/>
        </w:sectPr>
      </w:pPr>
    </w:p>
    <w:bookmarkStart w:id="216" w:name="page217"/>
    <w:bookmarkEnd w:id="216"/>
    <w:p>
      <w:pPr>
        <w:ind w:left="400"/>
        <w:spacing w:after="0"/>
        <w:rPr>
          <w:sz w:val="20"/>
          <w:szCs w:val="20"/>
          <w:color w:val="auto"/>
        </w:rPr>
      </w:pPr>
      <w:r>
        <w:rPr>
          <w:rFonts w:ascii="Times New Roman" w:cs="Times New Roman" w:eastAsia="Times New Roman" w:hAnsi="Times New Roman"/>
          <w:sz w:val="17"/>
          <w:szCs w:val="17"/>
          <w:color w:val="auto"/>
        </w:rPr>
        <w:t>Subsidiary, including the sale or issuance by any Subsidiary of any Equity Interests of any Subsidiary to any other Subsidiary;</w:t>
      </w:r>
    </w:p>
    <w:p>
      <w:pPr>
        <w:spacing w:after="0" w:line="176" w:lineRule="exact"/>
        <w:rPr>
          <w:sz w:val="20"/>
          <w:szCs w:val="20"/>
          <w:color w:val="auto"/>
        </w:rPr>
      </w:pPr>
    </w:p>
    <w:p>
      <w:pPr>
        <w:ind w:left="400" w:right="260" w:firstLine="502"/>
        <w:spacing w:after="0" w:line="276" w:lineRule="auto"/>
        <w:tabs>
          <w:tab w:leader="none" w:pos="1305"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issuance or sale of Equity Interests by any Subsidiary for the purpose of raising capital, whether through a public offering, private placement or otherwise;</w:t>
      </w:r>
    </w:p>
    <w:p>
      <w:pPr>
        <w:spacing w:after="0" w:line="119" w:lineRule="exact"/>
        <w:rPr>
          <w:rFonts w:ascii="Times New Roman" w:cs="Times New Roman" w:eastAsia="Times New Roman" w:hAnsi="Times New Roman"/>
          <w:sz w:val="17"/>
          <w:szCs w:val="17"/>
          <w:color w:val="auto"/>
        </w:rPr>
      </w:pPr>
    </w:p>
    <w:p>
      <w:pPr>
        <w:jc w:val="both"/>
        <w:ind w:left="400" w:firstLine="502"/>
        <w:spacing w:after="0" w:line="259" w:lineRule="auto"/>
        <w:tabs>
          <w:tab w:leader="none" w:pos="1325"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disposition by Innovate or any Subsidiary in the ordinary course of business and for a </w:t>
      </w:r>
      <w:r>
        <w:rPr>
          <w:rFonts w:ascii="Times New Roman" w:cs="Times New Roman" w:eastAsia="Times New Roman" w:hAnsi="Times New Roman"/>
          <w:sz w:val="17"/>
          <w:szCs w:val="17"/>
          <w:i w:val="1"/>
          <w:iCs w:val="1"/>
          <w:color w:val="auto"/>
        </w:rPr>
        <w:t>bona fide</w:t>
      </w:r>
      <w:r>
        <w:rPr>
          <w:rFonts w:ascii="Times New Roman" w:cs="Times New Roman" w:eastAsia="Times New Roman" w:hAnsi="Times New Roman"/>
          <w:sz w:val="17"/>
          <w:szCs w:val="17"/>
          <w:color w:val="auto"/>
        </w:rPr>
        <w:t xml:space="preserve"> business purpose of (i) cash, Cash Equivalents and cash management investments, (ii) damaged, worn out, uneconomical or obsolete assets, (iii) rights granted to others pursuant to leases or licenses, or (iv) inventory and other assets acquired and held for resale in the ordinary course of business (it being understood that any Equity Interests of any Subsidiary and the assets of an operating business, unit, division or line of business shall not constitute inventory or other assets acquired and held for resale in the ordinary course of business);</w:t>
      </w:r>
    </w:p>
    <w:p>
      <w:pPr>
        <w:spacing w:after="0" w:line="133" w:lineRule="exact"/>
        <w:rPr>
          <w:rFonts w:ascii="Times New Roman" w:cs="Times New Roman" w:eastAsia="Times New Roman" w:hAnsi="Times New Roman"/>
          <w:sz w:val="17"/>
          <w:szCs w:val="17"/>
          <w:color w:val="auto"/>
        </w:rPr>
      </w:pPr>
    </w:p>
    <w:p>
      <w:pPr>
        <w:ind w:left="1300" w:hanging="398"/>
        <w:spacing w:after="0"/>
        <w:tabs>
          <w:tab w:leader="none" w:pos="13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sale or discount of accounts receivable arising in the ordinary course of business and for a </w:t>
      </w:r>
      <w:r>
        <w:rPr>
          <w:rFonts w:ascii="Times New Roman" w:cs="Times New Roman" w:eastAsia="Times New Roman" w:hAnsi="Times New Roman"/>
          <w:sz w:val="17"/>
          <w:szCs w:val="17"/>
          <w:i w:val="1"/>
          <w:iCs w:val="1"/>
          <w:color w:val="auto"/>
        </w:rPr>
        <w:t>bona fide</w:t>
      </w:r>
      <w:r>
        <w:rPr>
          <w:rFonts w:ascii="Times New Roman" w:cs="Times New Roman" w:eastAsia="Times New Roman" w:hAnsi="Times New Roman"/>
          <w:sz w:val="17"/>
          <w:szCs w:val="17"/>
          <w:color w:val="auto"/>
        </w:rPr>
        <w:t xml:space="preserve"> business purpose;</w:t>
      </w:r>
    </w:p>
    <w:p>
      <w:pPr>
        <w:spacing w:after="0" w:line="179" w:lineRule="exact"/>
        <w:rPr>
          <w:rFonts w:ascii="Times New Roman" w:cs="Times New Roman" w:eastAsia="Times New Roman" w:hAnsi="Times New Roman"/>
          <w:sz w:val="17"/>
          <w:szCs w:val="17"/>
          <w:color w:val="auto"/>
        </w:rPr>
      </w:pPr>
    </w:p>
    <w:p>
      <w:pPr>
        <w:ind w:left="1280" w:hanging="378"/>
        <w:spacing w:after="0"/>
        <w:tabs>
          <w:tab w:leader="none" w:pos="128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transaction covered by Section 5.01 of the Indenture or that constitutes a Change of Control;</w:t>
      </w:r>
    </w:p>
    <w:p>
      <w:pPr>
        <w:spacing w:after="0" w:line="186" w:lineRule="exact"/>
        <w:rPr>
          <w:rFonts w:ascii="Times New Roman" w:cs="Times New Roman" w:eastAsia="Times New Roman" w:hAnsi="Times New Roman"/>
          <w:sz w:val="17"/>
          <w:szCs w:val="17"/>
          <w:color w:val="auto"/>
        </w:rPr>
      </w:pPr>
    </w:p>
    <w:p>
      <w:pPr>
        <w:ind w:left="1280" w:hanging="378"/>
        <w:spacing w:after="0"/>
        <w:tabs>
          <w:tab w:leader="none" w:pos="128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Restricted Payment permitted under Section 4.09 of the Indenture or a Permitted Investment;</w:t>
      </w:r>
    </w:p>
    <w:p>
      <w:pPr>
        <w:spacing w:after="0" w:line="175" w:lineRule="exact"/>
        <w:rPr>
          <w:rFonts w:ascii="Times New Roman" w:cs="Times New Roman" w:eastAsia="Times New Roman" w:hAnsi="Times New Roman"/>
          <w:sz w:val="17"/>
          <w:szCs w:val="17"/>
          <w:color w:val="auto"/>
        </w:rPr>
      </w:pPr>
    </w:p>
    <w:p>
      <w:pPr>
        <w:ind w:left="1300" w:hanging="398"/>
        <w:spacing w:after="0"/>
        <w:tabs>
          <w:tab w:leader="none" w:pos="13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issuance of Disqualified Equity Interests pursuant to Section 4.11 of the Indenture;</w:t>
      </w:r>
    </w:p>
    <w:p>
      <w:pPr>
        <w:spacing w:after="0" w:line="175" w:lineRule="exact"/>
        <w:rPr>
          <w:rFonts w:ascii="Times New Roman" w:cs="Times New Roman" w:eastAsia="Times New Roman" w:hAnsi="Times New Roman"/>
          <w:sz w:val="17"/>
          <w:szCs w:val="17"/>
          <w:color w:val="auto"/>
        </w:rPr>
      </w:pPr>
    </w:p>
    <w:p>
      <w:pPr>
        <w:jc w:val="both"/>
        <w:ind w:left="400" w:firstLine="502"/>
        <w:spacing w:after="0" w:line="261" w:lineRule="auto"/>
        <w:tabs>
          <w:tab w:leader="none" w:pos="1349"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disposition of Equity Interests of a Subsidiary pursuant to an agreement or other obligation with or to a Person from whom such Subsidiary was acquired or from whom such Subsidiary (having been newly formed in connection with such acquisition) acquired its business and assets, made as part of such acquisition and in each case comprising all or a portion of the consideration in respect of such sale or acquisition;</w:t>
      </w:r>
    </w:p>
    <w:p>
      <w:pPr>
        <w:spacing w:after="0" w:line="136" w:lineRule="exact"/>
        <w:rPr>
          <w:rFonts w:ascii="Times New Roman" w:cs="Times New Roman" w:eastAsia="Times New Roman" w:hAnsi="Times New Roman"/>
          <w:sz w:val="17"/>
          <w:szCs w:val="17"/>
          <w:color w:val="auto"/>
        </w:rPr>
      </w:pPr>
    </w:p>
    <w:p>
      <w:pPr>
        <w:ind w:left="400" w:firstLine="502"/>
        <w:spacing w:after="0" w:line="276" w:lineRule="auto"/>
        <w:tabs>
          <w:tab w:leader="none" w:pos="1321"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surrender or waiver of contract rights pursuant to a settlement, release, recovery on or surrender of contract, tort or other claims of any kind;</w:t>
      </w:r>
    </w:p>
    <w:p>
      <w:pPr>
        <w:spacing w:after="0" w:line="123" w:lineRule="exact"/>
        <w:rPr>
          <w:rFonts w:ascii="Times New Roman" w:cs="Times New Roman" w:eastAsia="Times New Roman" w:hAnsi="Times New Roman"/>
          <w:sz w:val="17"/>
          <w:szCs w:val="17"/>
          <w:color w:val="auto"/>
        </w:rPr>
      </w:pPr>
    </w:p>
    <w:p>
      <w:pPr>
        <w:ind w:left="1260" w:hanging="358"/>
        <w:spacing w:after="0"/>
        <w:tabs>
          <w:tab w:leader="none" w:pos="126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foreclosure or any similar action with respect to any property or other asset of Innovate or any of its Subsidiaries;</w:t>
      </w:r>
    </w:p>
    <w:p>
      <w:pPr>
        <w:spacing w:after="0" w:line="175" w:lineRule="exact"/>
        <w:rPr>
          <w:rFonts w:ascii="Times New Roman" w:cs="Times New Roman" w:eastAsia="Times New Roman" w:hAnsi="Times New Roman"/>
          <w:sz w:val="17"/>
          <w:szCs w:val="17"/>
          <w:color w:val="auto"/>
        </w:rPr>
      </w:pPr>
    </w:p>
    <w:p>
      <w:pPr>
        <w:ind w:left="1300" w:hanging="398"/>
        <w:spacing w:after="0"/>
        <w:tabs>
          <w:tab w:leader="none" w:pos="13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incurrence of a Permitted Lien;</w:t>
      </w:r>
    </w:p>
    <w:p>
      <w:pPr>
        <w:spacing w:after="0" w:line="200" w:lineRule="exact"/>
        <w:rPr>
          <w:sz w:val="20"/>
          <w:szCs w:val="20"/>
          <w:color w:val="auto"/>
        </w:rPr>
      </w:pPr>
    </w:p>
    <w:p>
      <w:pPr>
        <w:spacing w:after="0" w:line="40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7"/>
          <w:szCs w:val="17"/>
          <w:color w:val="auto"/>
        </w:rPr>
        <w:t>7</w:t>
      </w:r>
    </w:p>
    <w:p>
      <w:pPr>
        <w:sectPr>
          <w:pgSz w:w="11900" w:h="16838" w:orient="portrait"/>
          <w:cols w:equalWidth="0" w:num="1">
            <w:col w:w="10140"/>
          </w:cols>
          <w:pgMar w:left="1440" w:top="1031" w:right="319" w:bottom="1440" w:gutter="0" w:footer="0" w:header="0"/>
        </w:sectPr>
      </w:pPr>
    </w:p>
    <w:bookmarkStart w:id="217" w:name="page218"/>
    <w:bookmarkEnd w:id="217"/>
    <w:p>
      <w:pPr>
        <w:ind w:left="1280" w:hanging="378"/>
        <w:spacing w:after="0"/>
        <w:tabs>
          <w:tab w:leader="none" w:pos="1280" w:val="left"/>
        </w:tabs>
        <w:numPr>
          <w:ilvl w:val="1"/>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leases of real or personal property in the ordinary course of business, for a </w:t>
      </w:r>
      <w:r>
        <w:rPr>
          <w:rFonts w:ascii="Times New Roman" w:cs="Times New Roman" w:eastAsia="Times New Roman" w:hAnsi="Times New Roman"/>
          <w:sz w:val="17"/>
          <w:szCs w:val="17"/>
          <w:i w:val="1"/>
          <w:iCs w:val="1"/>
          <w:color w:val="auto"/>
        </w:rPr>
        <w:t>bona fide</w:t>
      </w:r>
      <w:r>
        <w:rPr>
          <w:rFonts w:ascii="Times New Roman" w:cs="Times New Roman" w:eastAsia="Times New Roman" w:hAnsi="Times New Roman"/>
          <w:sz w:val="17"/>
          <w:szCs w:val="17"/>
          <w:color w:val="auto"/>
        </w:rPr>
        <w:t xml:space="preserve"> business purpose;</w:t>
      </w:r>
    </w:p>
    <w:p>
      <w:pPr>
        <w:spacing w:after="0" w:line="179" w:lineRule="exact"/>
        <w:rPr>
          <w:rFonts w:ascii="Times New Roman" w:cs="Times New Roman" w:eastAsia="Times New Roman" w:hAnsi="Times New Roman"/>
          <w:sz w:val="17"/>
          <w:szCs w:val="17"/>
          <w:color w:val="auto"/>
        </w:rPr>
      </w:pPr>
    </w:p>
    <w:p>
      <w:pPr>
        <w:ind w:left="400" w:firstLine="502"/>
        <w:spacing w:after="0" w:line="276" w:lineRule="auto"/>
        <w:tabs>
          <w:tab w:leader="none" w:pos="1358" w:val="left"/>
        </w:tabs>
        <w:numPr>
          <w:ilvl w:val="1"/>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licenses or sublicenses of Intellectual Property in the ordinary course of business and not interfering in any material respect with the ordinary conduct of business of Innovate;</w:t>
      </w:r>
    </w:p>
    <w:p>
      <w:pPr>
        <w:spacing w:after="0" w:line="123" w:lineRule="exact"/>
        <w:rPr>
          <w:rFonts w:ascii="Times New Roman" w:cs="Times New Roman" w:eastAsia="Times New Roman" w:hAnsi="Times New Roman"/>
          <w:sz w:val="17"/>
          <w:szCs w:val="17"/>
          <w:color w:val="auto"/>
        </w:rPr>
      </w:pPr>
    </w:p>
    <w:p>
      <w:pPr>
        <w:jc w:val="both"/>
        <w:ind w:left="400" w:firstLine="502"/>
        <w:spacing w:after="0" w:line="268" w:lineRule="auto"/>
        <w:tabs>
          <w:tab w:leader="none" w:pos="1345" w:val="left"/>
        </w:tabs>
        <w:numPr>
          <w:ilvl w:val="1"/>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dispositions of Investments by any Insurance Subsidiary (other than any of its Investments in Subsidiaries engaged in insurance lines of business) consistent with the investment policy approved by the Board of Directors of such Insurance Subsidiary or Innovate, as the case may be;</w:t>
      </w:r>
    </w:p>
    <w:p>
      <w:pPr>
        <w:spacing w:after="0" w:line="130" w:lineRule="exact"/>
        <w:rPr>
          <w:rFonts w:ascii="Times New Roman" w:cs="Times New Roman" w:eastAsia="Times New Roman" w:hAnsi="Times New Roman"/>
          <w:sz w:val="17"/>
          <w:szCs w:val="17"/>
          <w:color w:val="auto"/>
        </w:rPr>
      </w:pPr>
    </w:p>
    <w:p>
      <w:pPr>
        <w:ind w:left="400" w:firstLine="502"/>
        <w:spacing w:after="0" w:line="276" w:lineRule="auto"/>
        <w:tabs>
          <w:tab w:leader="none" w:pos="1347" w:val="left"/>
        </w:tabs>
        <w:numPr>
          <w:ilvl w:val="1"/>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dispositions by Insurance Subsidiaries and their Subsidiaries pursuant to Reinsurance Agreements so long as such disposition is entered into in the ordinary course of business for the purpose of managing insurance risk consistent with industry practice;</w:t>
      </w:r>
    </w:p>
    <w:p>
      <w:pPr>
        <w:spacing w:after="0" w:line="123" w:lineRule="exact"/>
        <w:rPr>
          <w:rFonts w:ascii="Times New Roman" w:cs="Times New Roman" w:eastAsia="Times New Roman" w:hAnsi="Times New Roman"/>
          <w:sz w:val="17"/>
          <w:szCs w:val="17"/>
          <w:color w:val="auto"/>
        </w:rPr>
      </w:pPr>
    </w:p>
    <w:p>
      <w:pPr>
        <w:ind w:left="1280" w:hanging="378"/>
        <w:spacing w:after="0"/>
        <w:tabs>
          <w:tab w:leader="none" w:pos="1280" w:val="left"/>
        </w:tabs>
        <w:numPr>
          <w:ilvl w:val="1"/>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Permitted Transactions;</w:t>
      </w:r>
    </w:p>
    <w:p>
      <w:pPr>
        <w:spacing w:after="0" w:line="175" w:lineRule="exact"/>
        <w:rPr>
          <w:rFonts w:ascii="Times New Roman" w:cs="Times New Roman" w:eastAsia="Times New Roman" w:hAnsi="Times New Roman"/>
          <w:sz w:val="17"/>
          <w:szCs w:val="17"/>
          <w:color w:val="auto"/>
        </w:rPr>
      </w:pPr>
    </w:p>
    <w:p>
      <w:pPr>
        <w:ind w:left="400" w:firstLine="502"/>
        <w:spacing w:after="0" w:line="289" w:lineRule="auto"/>
        <w:tabs>
          <w:tab w:leader="none" w:pos="1339" w:val="left"/>
        </w:tabs>
        <w:numPr>
          <w:ilvl w:val="1"/>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termination of leases by Innovate or any Subsidiary as lessee that is, in the reasonable and good faith judgment of Innovate, no longer commercially practicable to maintain or useful in the conduct of business of Innovate and the Subsidiaries taken as a whole;</w:t>
      </w:r>
    </w:p>
    <w:p>
      <w:pPr>
        <w:spacing w:after="0" w:line="112" w:lineRule="exact"/>
        <w:rPr>
          <w:rFonts w:ascii="Times New Roman" w:cs="Times New Roman" w:eastAsia="Times New Roman" w:hAnsi="Times New Roman"/>
          <w:sz w:val="17"/>
          <w:szCs w:val="17"/>
          <w:color w:val="auto"/>
        </w:rPr>
      </w:pPr>
    </w:p>
    <w:p>
      <w:pPr>
        <w:ind w:left="1300" w:hanging="398"/>
        <w:spacing w:after="0"/>
        <w:tabs>
          <w:tab w:leader="none" w:pos="1300" w:val="left"/>
        </w:tabs>
        <w:numPr>
          <w:ilvl w:val="1"/>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dispositions completed prior to the date hereof; and</w:t>
      </w:r>
    </w:p>
    <w:p>
      <w:pPr>
        <w:spacing w:after="0" w:line="175" w:lineRule="exact"/>
        <w:rPr>
          <w:rFonts w:ascii="Times New Roman" w:cs="Times New Roman" w:eastAsia="Times New Roman" w:hAnsi="Times New Roman"/>
          <w:sz w:val="17"/>
          <w:szCs w:val="17"/>
          <w:color w:val="auto"/>
        </w:rPr>
      </w:pPr>
    </w:p>
    <w:p>
      <w:pPr>
        <w:ind w:left="400" w:firstLine="502"/>
        <w:spacing w:after="0" w:line="276" w:lineRule="auto"/>
        <w:tabs>
          <w:tab w:leader="none" w:pos="1292" w:val="left"/>
        </w:tabs>
        <w:numPr>
          <w:ilvl w:val="1"/>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allowable under Section 1031 of the Code (or any comparable or successor provision), any exchange of like property (excluding any boot thereon).</w:t>
      </w:r>
    </w:p>
    <w:p>
      <w:pPr>
        <w:spacing w:after="0" w:line="119" w:lineRule="exact"/>
        <w:rPr>
          <w:rFonts w:ascii="Times New Roman" w:cs="Times New Roman" w:eastAsia="Times New Roman" w:hAnsi="Times New Roman"/>
          <w:sz w:val="17"/>
          <w:szCs w:val="17"/>
          <w:color w:val="auto"/>
        </w:rPr>
      </w:pPr>
    </w:p>
    <w:p>
      <w:pPr>
        <w:jc w:val="both"/>
        <w:ind w:left="-120" w:firstLine="513"/>
        <w:spacing w:after="0" w:line="271" w:lineRule="auto"/>
        <w:tabs>
          <w:tab w:leader="none" w:pos="777"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Net Cash Proceeds</w:t>
      </w:r>
      <w:r>
        <w:rPr>
          <w:rFonts w:ascii="Times New Roman" w:cs="Times New Roman" w:eastAsia="Times New Roman" w:hAnsi="Times New Roman"/>
          <w:sz w:val="17"/>
          <w:szCs w:val="17"/>
          <w:color w:val="auto"/>
        </w:rPr>
        <w:t>” means, with respect to any Asset Sale, the proceeds of such Asset Sale in the form of cash (including (i) payments in respect of deferred payment obligations to the extent corresponding to principal, but not interest, when received in the form of cash, and (ii) proceeds from the conversion of other consideration received when converted to cash), net of:</w:t>
      </w:r>
    </w:p>
    <w:p>
      <w:pPr>
        <w:spacing w:after="0" w:line="126" w:lineRule="exact"/>
        <w:rPr>
          <w:rFonts w:ascii="Times New Roman" w:cs="Times New Roman" w:eastAsia="Times New Roman" w:hAnsi="Times New Roman"/>
          <w:sz w:val="17"/>
          <w:szCs w:val="17"/>
          <w:color w:val="auto"/>
        </w:rPr>
      </w:pPr>
    </w:p>
    <w:p>
      <w:pPr>
        <w:ind w:left="400" w:firstLine="502"/>
        <w:spacing w:after="0" w:line="276" w:lineRule="auto"/>
        <w:tabs>
          <w:tab w:leader="none" w:pos="1370"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brokerage commissions, underwriting commissions and other fees and expenses related to such Asset Sale, including fees and expenses of counsel, accountants, consultants and investment bankers;</w:t>
      </w:r>
    </w:p>
    <w:p>
      <w:pPr>
        <w:spacing w:after="0" w:line="123" w:lineRule="exact"/>
        <w:rPr>
          <w:rFonts w:ascii="Times New Roman" w:cs="Times New Roman" w:eastAsia="Times New Roman" w:hAnsi="Times New Roman"/>
          <w:sz w:val="17"/>
          <w:szCs w:val="17"/>
          <w:color w:val="auto"/>
        </w:rPr>
      </w:pPr>
    </w:p>
    <w:p>
      <w:pPr>
        <w:ind w:left="400" w:firstLine="502"/>
        <w:spacing w:after="0" w:line="289" w:lineRule="auto"/>
        <w:tabs>
          <w:tab w:leader="none" w:pos="1351"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provisions for taxes as a result of such Asset Sale taking into account the consolidated results of operations of Innovate Parent and its Subsidiaries;</w:t>
      </w:r>
    </w:p>
    <w:p>
      <w:pPr>
        <w:spacing w:after="0" w:line="112" w:lineRule="exact"/>
        <w:rPr>
          <w:rFonts w:ascii="Times New Roman" w:cs="Times New Roman" w:eastAsia="Times New Roman" w:hAnsi="Times New Roman"/>
          <w:sz w:val="17"/>
          <w:szCs w:val="17"/>
          <w:color w:val="auto"/>
        </w:rPr>
      </w:pPr>
    </w:p>
    <w:p>
      <w:pPr>
        <w:ind w:left="400" w:firstLine="502"/>
        <w:spacing w:after="0" w:line="276" w:lineRule="auto"/>
        <w:tabs>
          <w:tab w:leader="none" w:pos="1323"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payments required to be made to holders of minority interests in Subsidiaries as a result of such Asset Sale or (except in the case of Collateral) to repay Debt outstanding at the time of such Asset Sale that is secured by a Lien on the property or assets sold;</w:t>
      </w:r>
    </w:p>
    <w:p>
      <w:pPr>
        <w:spacing w:after="0" w:line="200" w:lineRule="exact"/>
        <w:rPr>
          <w:sz w:val="20"/>
          <w:szCs w:val="20"/>
          <w:color w:val="auto"/>
        </w:rPr>
      </w:pPr>
    </w:p>
    <w:p>
      <w:pPr>
        <w:spacing w:after="0" w:line="34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7"/>
          <w:szCs w:val="17"/>
          <w:color w:val="auto"/>
        </w:rPr>
        <w:t>8</w:t>
      </w:r>
    </w:p>
    <w:p>
      <w:pPr>
        <w:sectPr>
          <w:pgSz w:w="11900" w:h="16838" w:orient="portrait"/>
          <w:cols w:equalWidth="0" w:num="1">
            <w:col w:w="10140"/>
          </w:cols>
          <w:pgMar w:left="1440" w:top="1027" w:right="319" w:bottom="1440" w:gutter="0" w:footer="0" w:header="0"/>
        </w:sectPr>
      </w:pPr>
    </w:p>
    <w:bookmarkStart w:id="218" w:name="page219"/>
    <w:bookmarkEnd w:id="218"/>
    <w:p>
      <w:pPr>
        <w:jc w:val="both"/>
        <w:ind w:left="1020" w:firstLine="502"/>
        <w:spacing w:after="0" w:line="257" w:lineRule="auto"/>
        <w:tabs>
          <w:tab w:leader="none" w:pos="1975"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appropriate amounts to be provided as a reserve against liabilities associated with such Asset Sale, including pension and other post-employment benefit liabilities, liabilities related to environmental matters and indemnification obligations associated with such Asset Sale, with any subsequent reduction of the reserve other than by payments made and charged against the reserved amount to be deemed a receipt of cash;</w:t>
      </w:r>
    </w:p>
    <w:p>
      <w:pPr>
        <w:spacing w:after="0" w:line="149" w:lineRule="exact"/>
        <w:rPr>
          <w:rFonts w:ascii="Times New Roman" w:cs="Times New Roman" w:eastAsia="Times New Roman" w:hAnsi="Times New Roman"/>
          <w:sz w:val="17"/>
          <w:szCs w:val="17"/>
          <w:color w:val="auto"/>
        </w:rPr>
      </w:pPr>
    </w:p>
    <w:p>
      <w:pPr>
        <w:ind w:left="1020" w:firstLine="502"/>
        <w:spacing w:after="0" w:line="276" w:lineRule="auto"/>
        <w:tabs>
          <w:tab w:leader="none" w:pos="1926"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payments of unassumed liabilities (not constituting Debt) relating to the assets sold at the time of, or within 30 days after the date of, such Asset Sale; and</w:t>
      </w:r>
    </w:p>
    <w:p>
      <w:pPr>
        <w:spacing w:after="0" w:line="123" w:lineRule="exact"/>
        <w:rPr>
          <w:rFonts w:ascii="Times New Roman" w:cs="Times New Roman" w:eastAsia="Times New Roman" w:hAnsi="Times New Roman"/>
          <w:sz w:val="17"/>
          <w:szCs w:val="17"/>
          <w:color w:val="auto"/>
        </w:rPr>
      </w:pPr>
    </w:p>
    <w:p>
      <w:pPr>
        <w:jc w:val="both"/>
        <w:ind w:left="1020" w:firstLine="502"/>
        <w:spacing w:after="0" w:line="257" w:lineRule="auto"/>
        <w:tabs>
          <w:tab w:leader="none" w:pos="1943"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proceeds that are used to permanently repay, reduce, prepay, redeem or otherwise retire (whether at maturity, upon acceleration, by mandatory or optional prepayment, by redemption, repurchase or otherwise) any Debt or Preferred Stock of Innovate or any Subsidiary (including, without limitation, all principal, premium, accrued and unpaid interest, make-whole amounts, breakage costs, prepayment penalties and fees payable in connection therewith) in effect as of the date of this Agreement; and</w:t>
      </w:r>
    </w:p>
    <w:p>
      <w:pPr>
        <w:spacing w:after="0" w:line="145" w:lineRule="exact"/>
        <w:rPr>
          <w:rFonts w:ascii="Times New Roman" w:cs="Times New Roman" w:eastAsia="Times New Roman" w:hAnsi="Times New Roman"/>
          <w:sz w:val="17"/>
          <w:szCs w:val="17"/>
          <w:color w:val="auto"/>
        </w:rPr>
      </w:pPr>
    </w:p>
    <w:p>
      <w:pPr>
        <w:jc w:val="both"/>
        <w:ind w:left="1020" w:firstLine="502"/>
        <w:spacing w:after="0" w:line="264" w:lineRule="auto"/>
        <w:tabs>
          <w:tab w:leader="none" w:pos="2000"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amount not to exceed $20,000,000.00 in the aggregate across all Asset Sales from the date hereof (the “</w:t>
      </w:r>
      <w:r>
        <w:rPr>
          <w:rFonts w:ascii="Times New Roman" w:cs="Times New Roman" w:eastAsia="Times New Roman" w:hAnsi="Times New Roman"/>
          <w:sz w:val="17"/>
          <w:szCs w:val="17"/>
          <w:b w:val="1"/>
          <w:bCs w:val="1"/>
          <w:color w:val="auto"/>
        </w:rPr>
        <w:t>Working Capital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Reserve</w:t>
      </w:r>
      <w:r>
        <w:rPr>
          <w:rFonts w:ascii="Times New Roman" w:cs="Times New Roman" w:eastAsia="Times New Roman" w:hAnsi="Times New Roman"/>
          <w:sz w:val="17"/>
          <w:szCs w:val="17"/>
          <w:color w:val="auto"/>
        </w:rPr>
        <w:t>”), which Innovate Parent may retain as a reserve for general corporate purposes, working capital and operating expenses to the extent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Innovate Parent determines such reserve is reasonably necessary.</w:t>
      </w:r>
    </w:p>
    <w:p>
      <w:pPr>
        <w:spacing w:after="0" w:line="133" w:lineRule="exact"/>
        <w:rPr>
          <w:rFonts w:ascii="Times New Roman" w:cs="Times New Roman" w:eastAsia="Times New Roman" w:hAnsi="Times New Roman"/>
          <w:sz w:val="17"/>
          <w:szCs w:val="17"/>
          <w:color w:val="auto"/>
        </w:rPr>
      </w:pPr>
    </w:p>
    <w:p>
      <w:pPr>
        <w:jc w:val="both"/>
        <w:ind w:firstLine="503"/>
        <w:spacing w:after="0" w:line="268" w:lineRule="auto"/>
        <w:tabs>
          <w:tab w:leader="none" w:pos="914"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From and after the execution and delivery of this Agreement until the date that is 10 days after the Option Termination Date, no later than 10 Business Days following the consummation of any Asset Sale, Innovate Parent shall deliver to Parent a certificate, duly executed by an authorized officer of Innovate Parent, certifying as to (i) the consummation of an Asset Sale and (ii) the amount of Net Cash Proceeds therefrom.</w:t>
      </w:r>
    </w:p>
    <w:p>
      <w:pPr>
        <w:spacing w:after="0" w:line="130" w:lineRule="exact"/>
        <w:rPr>
          <w:rFonts w:ascii="Times New Roman" w:cs="Times New Roman" w:eastAsia="Times New Roman" w:hAnsi="Times New Roman"/>
          <w:sz w:val="17"/>
          <w:szCs w:val="17"/>
          <w:color w:val="auto"/>
        </w:rPr>
      </w:pPr>
    </w:p>
    <w:p>
      <w:pPr>
        <w:jc w:val="both"/>
        <w:ind w:firstLine="503"/>
        <w:spacing w:after="0" w:line="254" w:lineRule="auto"/>
        <w:tabs>
          <w:tab w:leader="none" w:pos="917"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From and after the execution and delivery of this Agreement until the date that is 60 days after the Option Termination Date, subject to any applicable Legal Requirements and Orders, upon reasonable advance notice and no more than twice per 90 days, Innovate Parent shall afford Parent and its Representatives reasonable access during normal business hours to the personnel and financial books and records of Innovate Parent and its Subsidiaries and Innovate Parent shall use reasonable best efforts to furnish promptly to Parent and its Representatives such information as Parent may reasonably request, to the extent reasonably necessary in connection with any Asset Sale or confirming the calculation of existence of any Net Cash Proceeds;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that Parent and its Representatives shall conduct any such activities in a manner that does not unreasonably interfere with the business or operations of Innovate Parent and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7"/>
          <w:szCs w:val="17"/>
          <w:color w:val="auto"/>
        </w:rPr>
        <w:t>9</w:t>
      </w:r>
    </w:p>
    <w:p>
      <w:pPr>
        <w:sectPr>
          <w:pgSz w:w="11900" w:h="16838" w:orient="portrait"/>
          <w:cols w:equalWidth="0" w:num="1">
            <w:col w:w="10760"/>
          </w:cols>
          <w:pgMar w:left="820" w:top="1031" w:right="319" w:bottom="1440" w:gutter="0" w:footer="0" w:header="0"/>
        </w:sectPr>
      </w:pPr>
    </w:p>
    <w:bookmarkStart w:id="219" w:name="page220"/>
    <w:bookmarkEnd w:id="219"/>
    <w:p>
      <w:pPr>
        <w:ind w:firstLine="514"/>
        <w:spacing w:after="0" w:line="276" w:lineRule="auto"/>
        <w:tabs>
          <w:tab w:leader="none" w:pos="806"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Securities Law Matters</w:t>
      </w:r>
      <w:r>
        <w:rPr>
          <w:rFonts w:ascii="Times New Roman" w:cs="Times New Roman" w:eastAsia="Times New Roman" w:hAnsi="Times New Roman"/>
          <w:sz w:val="17"/>
          <w:szCs w:val="17"/>
          <w:color w:val="auto"/>
        </w:rPr>
        <w:t>. Innovate agrees to furnish any additional information requested by Parent, the Company or any of its or their respective Affiliates to assure compliance with applicable Securities Laws in connection with the purchase and sale contemplated by the exercise of the Option.</w:t>
      </w:r>
    </w:p>
    <w:p>
      <w:pPr>
        <w:spacing w:after="0" w:line="165" w:lineRule="exact"/>
        <w:rPr>
          <w:rFonts w:ascii="Times New Roman" w:cs="Times New Roman" w:eastAsia="Times New Roman" w:hAnsi="Times New Roman"/>
          <w:sz w:val="17"/>
          <w:szCs w:val="17"/>
          <w:color w:val="auto"/>
        </w:rPr>
      </w:pPr>
    </w:p>
    <w:p>
      <w:pPr>
        <w:jc w:val="both"/>
        <w:ind w:firstLine="514"/>
        <w:spacing w:after="0" w:line="258" w:lineRule="auto"/>
        <w:tabs>
          <w:tab w:leader="none" w:pos="838"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Each notice, request, demand or other communication under this Agreement shall be in writing and shall be deemed to have been duly given, delivered or made as follows: (a) if delivered by hand, when delivered; (b) if sent by registered, certified or first class mail, the second Business Day after being sent;</w:t>
      </w:r>
    </w:p>
    <w:p>
      <w:pPr>
        <w:jc w:val="both"/>
        <w:ind w:firstLine="5"/>
        <w:spacing w:after="0" w:line="249" w:lineRule="auto"/>
        <w:tabs>
          <w:tab w:leader="none" w:pos="231"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sent via a national courier service, two Business Days after being delivered to such courier; and (d) if sent by email, when sent,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that the sender of such email does not receive a “bounce back” or similar message indicating delivery failure. All notices and other communications hereunder shall be delivered to the address or email address set forth beneath the name of such party below (or to such other address or email address as such party shall have specified in a written notice given to the other parties hereto):</w:t>
      </w:r>
    </w:p>
    <w:p>
      <w:pPr>
        <w:sectPr>
          <w:pgSz w:w="11900" w:h="16838" w:orient="portrait"/>
          <w:cols w:equalWidth="0" w:num="1">
            <w:col w:w="11280"/>
          </w:cols>
          <w:pgMar w:left="300" w:top="1148" w:right="319" w:bottom="1440" w:gutter="0" w:footer="0" w:header="0"/>
        </w:sectPr>
      </w:pPr>
    </w:p>
    <w:p>
      <w:pPr>
        <w:spacing w:after="0" w:line="2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If to the Parent, SPV LLC or, following Closing,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with a copy, which shall not constitute notice,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If to Innovate, Innovate Parent or, prior to Closing,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with a copy, which shall not constitute notice, to:</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CONX Corp.</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5701 S. Santa Fe Dr.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Littleton, CO 80120</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Email: [*****]</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Attention: [*****]</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Sullivan &amp; Cromwell LLP</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125 Broad Street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 NY 10004</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Email: schollmeyerm@sullcrom.com</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Attention: Mario Schollmeyer</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INNOVATE Corp.</w:t>
      </w:r>
    </w:p>
    <w:p>
      <w:pPr>
        <w:spacing w:after="0" w:line="214" w:lineRule="auto"/>
        <w:rPr>
          <w:sz w:val="20"/>
          <w:szCs w:val="20"/>
          <w:color w:val="auto"/>
        </w:rPr>
      </w:pPr>
      <w:r>
        <w:rPr>
          <w:rFonts w:ascii="Times New Roman" w:cs="Times New Roman" w:eastAsia="Times New Roman" w:hAnsi="Times New Roman"/>
          <w:sz w:val="17"/>
          <w:szCs w:val="17"/>
          <w:color w:val="auto"/>
        </w:rPr>
        <w:t>295 Madison Avenue, 12</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7"/>
          <w:szCs w:val="17"/>
          <w:color w:val="auto"/>
        </w:rPr>
        <w:t xml:space="preserve"> Floor</w:t>
      </w:r>
    </w:p>
    <w:p>
      <w:pPr>
        <w:spacing w:after="0"/>
        <w:rPr>
          <w:sz w:val="20"/>
          <w:szCs w:val="20"/>
          <w:color w:val="auto"/>
        </w:rPr>
      </w:pPr>
      <w:r>
        <w:rPr>
          <w:rFonts w:ascii="Times New Roman" w:cs="Times New Roman" w:eastAsia="Times New Roman" w:hAnsi="Times New Roman"/>
          <w:sz w:val="17"/>
          <w:szCs w:val="17"/>
          <w:color w:val="auto"/>
        </w:rPr>
        <w:t>New York, NY 10017</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Email: [*****]</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Attention: [*****]</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Cleary Gottlieb Steen &amp; Hamilton LLP</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One Liberty Plaza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 NY 10006</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Email: soneal@cgsh.com; callen@cgsh.com</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Attention: Sean O’Neal; Charles Allen</w:t>
      </w:r>
    </w:p>
    <w:p>
      <w:pPr>
        <w:spacing w:after="0" w:line="200" w:lineRule="exact"/>
        <w:rPr>
          <w:sz w:val="20"/>
          <w:szCs w:val="20"/>
          <w:color w:val="auto"/>
        </w:rPr>
      </w:pPr>
    </w:p>
    <w:p>
      <w:pPr>
        <w:sectPr>
          <w:pgSz w:w="11900" w:h="16838" w:orient="portrait"/>
          <w:cols w:equalWidth="0" w:num="2">
            <w:col w:w="4480" w:space="600"/>
            <w:col w:w="6200"/>
          </w:cols>
          <w:pgMar w:left="300" w:top="1148" w:right="319" w:bottom="1440" w:gutter="0" w:footer="0" w:header="0"/>
          <w:type w:val="continuous"/>
        </w:sectPr>
      </w:pPr>
    </w:p>
    <w:p>
      <w:pPr>
        <w:spacing w:after="0" w:line="96" w:lineRule="exact"/>
        <w:rPr>
          <w:sz w:val="20"/>
          <w:szCs w:val="20"/>
          <w:color w:val="auto"/>
        </w:rPr>
      </w:pPr>
    </w:p>
    <w:p>
      <w:pPr>
        <w:ind w:firstLine="514"/>
        <w:spacing w:after="0" w:line="276" w:lineRule="auto"/>
        <w:tabs>
          <w:tab w:leader="none" w:pos="817"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Entire Agreement</w:t>
      </w:r>
      <w:r>
        <w:rPr>
          <w:rFonts w:ascii="Times New Roman" w:cs="Times New Roman" w:eastAsia="Times New Roman" w:hAnsi="Times New Roman"/>
          <w:sz w:val="17"/>
          <w:szCs w:val="17"/>
          <w:color w:val="auto"/>
        </w:rPr>
        <w:t>. This Agreement constitutes the sole and entire agreement of the parties to this Agreement with respect to the subject matter contained herein, and supersedes all prior and contemporaneous understandings and agreements, both written and oral, with respect to such subject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ectPr>
          <w:pgSz w:w="11900" w:h="16838" w:orient="portrait"/>
          <w:cols w:equalWidth="0" w:num="1">
            <w:col w:w="11280"/>
          </w:cols>
          <w:pgMar w:left="300" w:top="1148" w:right="319" w:bottom="1440" w:gutter="0" w:footer="0" w:header="0"/>
          <w:type w:val="continuous"/>
        </w:sectPr>
      </w:pPr>
    </w:p>
    <w:bookmarkStart w:id="220" w:name="page221"/>
    <w:bookmarkEnd w:id="220"/>
    <w:p>
      <w:pPr>
        <w:ind w:right="20" w:firstLine="514"/>
        <w:spacing w:after="0" w:line="258" w:lineRule="auto"/>
        <w:tabs>
          <w:tab w:leader="none" w:pos="806"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Successor and Assigns</w:t>
      </w:r>
      <w:r>
        <w:rPr>
          <w:rFonts w:ascii="Times New Roman" w:cs="Times New Roman" w:eastAsia="Times New Roman" w:hAnsi="Times New Roman"/>
          <w:sz w:val="17"/>
          <w:szCs w:val="17"/>
          <w:color w:val="auto"/>
        </w:rPr>
        <w:t xml:space="preserve">. Neither this Agreement nor any of the rights, interests or obligations under this Agreement shall be assigned, in whole or in part, by operation of any Legal Requirement or otherwise by any of the parties without the prior written consent of the other parties, and any purported assignment without such consent shall be null and void </w:t>
      </w:r>
      <w:r>
        <w:rPr>
          <w:rFonts w:ascii="Times New Roman" w:cs="Times New Roman" w:eastAsia="Times New Roman" w:hAnsi="Times New Roman"/>
          <w:sz w:val="17"/>
          <w:szCs w:val="17"/>
          <w:i w:val="1"/>
          <w:iCs w:val="1"/>
          <w:color w:val="auto"/>
        </w:rPr>
        <w:t>ab initio</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that Parent may, and shall, assign any and all of its rights and obligations under this Agreement to an Affiliate to whom it assigns, transfers or otherwise conveys the Company Equity Interests held by Parent. Any such transferee or assignee shall become a party to, and be bound by and entitled to the benefits of, this Agreement.</w:t>
      </w:r>
    </w:p>
    <w:p>
      <w:pPr>
        <w:spacing w:after="0" w:line="169" w:lineRule="exact"/>
        <w:rPr>
          <w:rFonts w:ascii="Times New Roman" w:cs="Times New Roman" w:eastAsia="Times New Roman" w:hAnsi="Times New Roman"/>
          <w:sz w:val="17"/>
          <w:szCs w:val="17"/>
          <w:color w:val="auto"/>
        </w:rPr>
      </w:pPr>
    </w:p>
    <w:p>
      <w:pPr>
        <w:jc w:val="both"/>
        <w:ind w:firstLine="514"/>
        <w:spacing w:after="0" w:line="262" w:lineRule="auto"/>
        <w:tabs>
          <w:tab w:leader="none" w:pos="881"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Third-Party Beneficiaries</w:t>
      </w:r>
      <w:r>
        <w:rPr>
          <w:rFonts w:ascii="Times New Roman" w:cs="Times New Roman" w:eastAsia="Times New Roman" w:hAnsi="Times New Roman"/>
          <w:sz w:val="17"/>
          <w:szCs w:val="17"/>
          <w:color w:val="auto"/>
        </w:rPr>
        <w:t>. This Agreement is for the sole benefit of the parties hereto and their respective successors and permitted assigns and nothing herein, express or implied, is intended to or shall confer upon any other person any legal or equitable right, benefit, or remedy of any nature whatsoever, under or by reason of this Agreement.</w:t>
      </w:r>
    </w:p>
    <w:p>
      <w:pPr>
        <w:spacing w:after="0" w:line="176" w:lineRule="exact"/>
        <w:rPr>
          <w:rFonts w:ascii="Times New Roman" w:cs="Times New Roman" w:eastAsia="Times New Roman" w:hAnsi="Times New Roman"/>
          <w:sz w:val="17"/>
          <w:szCs w:val="17"/>
          <w:color w:val="auto"/>
        </w:rPr>
      </w:pPr>
    </w:p>
    <w:p>
      <w:pPr>
        <w:ind w:left="920" w:hanging="406"/>
        <w:spacing w:after="0"/>
        <w:tabs>
          <w:tab w:leader="none" w:pos="92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Headings</w:t>
      </w:r>
      <w:r>
        <w:rPr>
          <w:rFonts w:ascii="Times New Roman" w:cs="Times New Roman" w:eastAsia="Times New Roman" w:hAnsi="Times New Roman"/>
          <w:sz w:val="17"/>
          <w:szCs w:val="17"/>
          <w:color w:val="auto"/>
        </w:rPr>
        <w:t>. The headings in this Agreement are for reference purposes only and shall not affect in any way the meaning or interpretation of this</w:t>
      </w:r>
    </w:p>
    <w:p>
      <w:pPr>
        <w:spacing w:after="0" w:line="23"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Agreement.</w:t>
      </w:r>
    </w:p>
    <w:p>
      <w:pPr>
        <w:spacing w:after="0" w:line="190" w:lineRule="exact"/>
        <w:rPr>
          <w:rFonts w:ascii="Times New Roman" w:cs="Times New Roman" w:eastAsia="Times New Roman" w:hAnsi="Times New Roman"/>
          <w:sz w:val="17"/>
          <w:szCs w:val="17"/>
          <w:color w:val="auto"/>
        </w:rPr>
      </w:pPr>
    </w:p>
    <w:p>
      <w:pPr>
        <w:jc w:val="both"/>
        <w:ind w:firstLine="514"/>
        <w:spacing w:after="0" w:line="256" w:lineRule="auto"/>
        <w:tabs>
          <w:tab w:leader="none" w:pos="923"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Amendment and Modification; Waiver</w:t>
      </w:r>
      <w:r>
        <w:rPr>
          <w:rFonts w:ascii="Times New Roman" w:cs="Times New Roman" w:eastAsia="Times New Roman" w:hAnsi="Times New Roman"/>
          <w:sz w:val="17"/>
          <w:szCs w:val="17"/>
          <w:color w:val="auto"/>
        </w:rPr>
        <w:t>. This Agreement may only be amended, modified, or supplemented by an agreement in writing signed by each party hereto. No waiver by any party of any of the provisions hereof shall be effective unless explicitly set forth in writing and signed by the party so waiving. No waiver by any party of any breach of this Agreement shall operate or be construed as a waiver of any preceding or subsequent breach, whether of a similar or different character, unless expressly set forth in such written waiver. Neither any course of conduct or failure or delay of any party in exercising or enforcing any right, remedy or power hereunder shall operate or be construed as a waiver thereof, nor shall any single or partial exercise of any right, remedy or power hereunder, or any abandonment or discontinuance of steps to enforce such right, remedy or power, or any course of conduct, preclude any other or further exercise thereof or the exercise of any other right, remedy or power.</w:t>
      </w:r>
    </w:p>
    <w:p>
      <w:pPr>
        <w:spacing w:after="0" w:line="174" w:lineRule="exact"/>
        <w:rPr>
          <w:rFonts w:ascii="Times New Roman" w:cs="Times New Roman" w:eastAsia="Times New Roman" w:hAnsi="Times New Roman"/>
          <w:sz w:val="17"/>
          <w:szCs w:val="17"/>
          <w:color w:val="auto"/>
        </w:rPr>
      </w:pPr>
    </w:p>
    <w:p>
      <w:pPr>
        <w:jc w:val="both"/>
        <w:ind w:firstLine="514"/>
        <w:spacing w:after="0" w:line="252" w:lineRule="auto"/>
        <w:tabs>
          <w:tab w:leader="none" w:pos="98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Severability</w:t>
      </w:r>
      <w:r>
        <w:rPr>
          <w:rFonts w:ascii="Times New Roman" w:cs="Times New Roman" w:eastAsia="Times New Roman" w:hAnsi="Times New Roman"/>
          <w:sz w:val="17"/>
          <w:szCs w:val="17"/>
          <w:color w:val="auto"/>
        </w:rPr>
        <w:t xml:space="preserve">. The parties agree that: (a) the provisions of this Agreement shall be deemed severable and the invalidity or unenforceability of any provision shall not affect the validity or enforceability of the other provisions of this Agreement so long as either the economic or legal substance of the transactions contemplated hereby is not affected in a manner materially adverse to any party or such party waives its rights under this </w:t>
      </w:r>
      <w:r>
        <w:rPr>
          <w:rFonts w:ascii="Times New Roman" w:cs="Times New Roman" w:eastAsia="Times New Roman" w:hAnsi="Times New Roman"/>
          <w:sz w:val="17"/>
          <w:szCs w:val="17"/>
          <w:u w:val="single" w:color="auto"/>
          <w:color w:val="auto"/>
        </w:rPr>
        <w:t>Section 11</w:t>
      </w:r>
      <w:r>
        <w:rPr>
          <w:rFonts w:ascii="Times New Roman" w:cs="Times New Roman" w:eastAsia="Times New Roman" w:hAnsi="Times New Roman"/>
          <w:sz w:val="17"/>
          <w:szCs w:val="17"/>
          <w:color w:val="auto"/>
        </w:rPr>
        <w:t xml:space="preserve"> with respect thereto; and (b) if any provision of this Agreement, or the application thereof to any Person or any circumstance, is invalid or unenforceable, (i) a suitable and equitable provision negotiated in good faith by the parties shall be substituted therefor in order to carry out, so far as may be valid and enforceable, the intent and purpose of such invalid or unenforceable provision and (ii) the remainder of this Agreement and the application of such provision to other Persons or circumstances shall not, subject to </w:t>
      </w:r>
      <w:r>
        <w:rPr>
          <w:rFonts w:ascii="Times New Roman" w:cs="Times New Roman" w:eastAsia="Times New Roman" w:hAnsi="Times New Roman"/>
          <w:sz w:val="17"/>
          <w:szCs w:val="17"/>
          <w:u w:val="single" w:color="auto"/>
          <w:color w:val="auto"/>
        </w:rPr>
        <w:t>clause (i)</w:t>
      </w:r>
      <w:r>
        <w:rPr>
          <w:rFonts w:ascii="Times New Roman" w:cs="Times New Roman" w:eastAsia="Times New Roman" w:hAnsi="Times New Roman"/>
          <w:sz w:val="17"/>
          <w:szCs w:val="17"/>
          <w:color w:val="auto"/>
        </w:rPr>
        <w:t xml:space="preserve"> above, be affected by such invalidity or unenforceability, except as a result of such substitution, nor shall such invalidity or unenforceability affect the validity or enforceability of such provision, or the application thereof, in any other jurisdiction, in each case, so long as either the economic or legal substance of the transactions contemplated hereby is not affected in a manner materially adverse to any party or such party waives its rights under this </w:t>
      </w:r>
      <w:r>
        <w:rPr>
          <w:rFonts w:ascii="Times New Roman" w:cs="Times New Roman" w:eastAsia="Times New Roman" w:hAnsi="Times New Roman"/>
          <w:sz w:val="17"/>
          <w:szCs w:val="17"/>
          <w:u w:val="single" w:color="auto"/>
          <w:color w:val="auto"/>
        </w:rPr>
        <w:t>Section 11</w:t>
      </w:r>
      <w:r>
        <w:rPr>
          <w:rFonts w:ascii="Times New Roman" w:cs="Times New Roman" w:eastAsia="Times New Roman" w:hAnsi="Times New Roman"/>
          <w:sz w:val="17"/>
          <w:szCs w:val="17"/>
          <w:color w:val="auto"/>
        </w:rPr>
        <w:t xml:space="preserve"> with respect thereto.</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ectPr>
          <w:pgSz w:w="11900" w:h="16838" w:orient="portrait"/>
          <w:cols w:equalWidth="0" w:num="1">
            <w:col w:w="11280"/>
          </w:cols>
          <w:pgMar w:left="300" w:top="1148" w:right="319" w:bottom="1440" w:gutter="0" w:footer="0" w:header="0"/>
        </w:sectPr>
      </w:pPr>
    </w:p>
    <w:bookmarkStart w:id="221" w:name="page222"/>
    <w:bookmarkEnd w:id="221"/>
    <w:p>
      <w:pPr>
        <w:jc w:val="both"/>
        <w:ind w:firstLine="514"/>
        <w:spacing w:after="0" w:line="254" w:lineRule="auto"/>
        <w:tabs>
          <w:tab w:leader="none" w:pos="913" w:val="left"/>
        </w:tabs>
        <w:numPr>
          <w:ilvl w:val="1"/>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Governing Law</w:t>
      </w:r>
      <w:r>
        <w:rPr>
          <w:rFonts w:ascii="Times New Roman" w:cs="Times New Roman" w:eastAsia="Times New Roman" w:hAnsi="Times New Roman"/>
          <w:sz w:val="17"/>
          <w:szCs w:val="17"/>
          <w:color w:val="auto"/>
        </w:rPr>
        <w:t>. This Agreement, and any action, suit or other legal proceeding arising out of or relating to this Agreement (including the enforcement of any provision of this Agreement), the transactions contemplated hereby or the legal relationship of the parties to this Agreement (whether at law or in equity, whether in contract or in tort or otherwise), shall be governed by, and construed and interpreted in accordance with, the laws of the State of Delaware, regardless of the choice of laws principles or any borrowing statute of the State of Delaware, as to all matters, including matters of validity, construction, effect, enforceability, performance and remedies. In the event the Redomiciliation occurs, this Agreement shall thereafter be governed by, and construed and interpreted in accordance with, the laws of the State of Nevada or the State of Colorado, as applicable, regardless of the choice of laws principles or any borrowing statute of the State of Nevada or the State of Colorado, as applicable, as to all matters, including matters of validity, construction, effect, enforceability, performance and remedies.</w:t>
      </w:r>
    </w:p>
    <w:p>
      <w:pPr>
        <w:spacing w:after="0" w:line="175" w:lineRule="exact"/>
        <w:rPr>
          <w:rFonts w:ascii="Times New Roman" w:cs="Times New Roman" w:eastAsia="Times New Roman" w:hAnsi="Times New Roman"/>
          <w:sz w:val="17"/>
          <w:szCs w:val="17"/>
          <w:color w:val="auto"/>
        </w:rPr>
      </w:pPr>
    </w:p>
    <w:p>
      <w:pPr>
        <w:jc w:val="both"/>
        <w:ind w:firstLine="514"/>
        <w:spacing w:after="0" w:line="269" w:lineRule="auto"/>
        <w:tabs>
          <w:tab w:leader="none" w:pos="902" w:val="left"/>
        </w:tabs>
        <w:numPr>
          <w:ilvl w:val="1"/>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Jurisdiction; Consent to Service of Process</w:t>
      </w:r>
      <w:r>
        <w:rPr>
          <w:rFonts w:ascii="Times New Roman" w:cs="Times New Roman" w:eastAsia="Times New Roman" w:hAnsi="Times New Roman"/>
          <w:sz w:val="16"/>
          <w:szCs w:val="16"/>
          <w:color w:val="auto"/>
        </w:rPr>
        <w:t>. Each of the parties hereto: (i) consents to submit itself to the personal jurisdiction of the Court of Chancery of the State of Delaware in the event of any dispute arising out of or relating to this Agreement, any of the transactions contemplated hereby or the legal relationship of the parties to this Agreement (whether at law or in equity, whether in contract or in tort or otherwise); (ii) agrees that it will not attempt to deny or defeat such personal jurisdiction by motion or other request for leave from any such court; (iii) agrees that it will not bring any action, suit or other legal proceeding arising out of or relating to this Agreement, any of the transactions contemplated hereby or the legal relationship of the parties to this Agreement (whether at law or in equity, whether in contract or in tort or otherwise) in any court other than the Court of Chancery of the State of Delaware, or, if (and only if) the Court of Chancery of the State of Delaware finds it lacks subject matter jurisdiction, the federal courts of the United States sitting in the State of Delaware, or, if (and only if) the federal courts of the United States sitting in the State of Delaware finds it lacks subject matter jurisdiction, the Superior Court of the State of Delaware, and appellate courts thereof;</w:t>
      </w:r>
    </w:p>
    <w:p>
      <w:pPr>
        <w:spacing w:after="0" w:line="1" w:lineRule="exact"/>
        <w:rPr>
          <w:rFonts w:ascii="Times New Roman" w:cs="Times New Roman" w:eastAsia="Times New Roman" w:hAnsi="Times New Roman"/>
          <w:sz w:val="16"/>
          <w:szCs w:val="16"/>
          <w:color w:val="auto"/>
        </w:rPr>
      </w:pPr>
    </w:p>
    <w:p>
      <w:pPr>
        <w:jc w:val="both"/>
        <w:ind w:firstLine="5"/>
        <w:spacing w:after="0" w:line="250" w:lineRule="auto"/>
        <w:tabs>
          <w:tab w:leader="none" w:pos="302"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waives any right to trial by jury with respect to any action, suit or other legal proceeding arising out of or relating to this Agreement, any of the transactions contemplated hereby or the legal relationship of the parties to this Agreement (whether at law or in equity, whether in contract or in tort or otherwise); (v) waives the defense of an inconvenient forum to the maintenance of any action, suit or other legal proceeding arising out of or relating to this Agreement, any of the transactions contemplated hereby or the legal relationship of the parties to this Agreement (whether at law or in equity, whether in contract or in tort or otherwise); and (vi) consents to service of process being made through the notice procedures set forth herein. The consents to jurisdiction set forth in this paragraph shall not constitute general consents to service of process in the State of Delaware. The parties hereto agree that a final judgment in any such action, suit or other legal proceeding shall be conclusive and may be enforced in other jurisdictions by suit on the judgment or in any other manner provided by applicable Legal Requirements. In the event the Redomiciliation occurs, all references to the State of Delaware and the courts thereof or located in the State of Delaware in this </w:t>
      </w:r>
      <w:r>
        <w:rPr>
          <w:rFonts w:ascii="Times New Roman" w:cs="Times New Roman" w:eastAsia="Times New Roman" w:hAnsi="Times New Roman"/>
          <w:sz w:val="17"/>
          <w:szCs w:val="17"/>
          <w:u w:val="single" w:color="auto"/>
          <w:color w:val="auto"/>
        </w:rPr>
        <w:t>Section 13</w:t>
      </w:r>
      <w:r>
        <w:rPr>
          <w:rFonts w:ascii="Times New Roman" w:cs="Times New Roman" w:eastAsia="Times New Roman" w:hAnsi="Times New Roman"/>
          <w:sz w:val="17"/>
          <w:szCs w:val="17"/>
          <w:color w:val="auto"/>
        </w:rPr>
        <w:t xml:space="preserve"> shall be deemed to be references to the State of Nevada or the State of Colorado and the courts thereof or located in the State of Nevada or the State of Colorado,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ectPr>
          <w:pgSz w:w="11900" w:h="16838" w:orient="portrait"/>
          <w:cols w:equalWidth="0" w:num="1">
            <w:col w:w="11280"/>
          </w:cols>
          <w:pgMar w:left="300" w:top="1148" w:right="319" w:bottom="1440" w:gutter="0" w:footer="0" w:header="0"/>
        </w:sectPr>
      </w:pPr>
    </w:p>
    <w:bookmarkStart w:id="222" w:name="page223"/>
    <w:bookmarkEnd w:id="222"/>
    <w:p>
      <w:pPr>
        <w:ind w:left="-20" w:right="40" w:firstLine="514"/>
        <w:spacing w:after="0" w:line="258" w:lineRule="auto"/>
        <w:tabs>
          <w:tab w:leader="none" w:pos="871"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Counterparts</w:t>
      </w:r>
      <w:r>
        <w:rPr>
          <w:rFonts w:ascii="Times New Roman" w:cs="Times New Roman" w:eastAsia="Times New Roman" w:hAnsi="Times New Roman"/>
          <w:sz w:val="17"/>
          <w:szCs w:val="17"/>
          <w:color w:val="auto"/>
        </w:rPr>
        <w:t>. This Agreement may be executed (including by email, in .pdf format or by any other electronic means) in two or more counterparts, all of which shall be considered one and the same agreement. The exchange of a fully executed Agreement (in counterparts or otherwise) by electronic transmission in .pdf format or through an electronic signature service shall be sufficient to bind the parties to the terms of this Agreement. No party shall raise the use of email or other electronic transmission to deliver a signature or the fact that any signature or agreement or instrument was transmitted or communicated through the use of email or other electronic transmission as a defense to the formation of a contract and each party forever waives any such defense.</w:t>
      </w:r>
    </w:p>
    <w:p>
      <w:pPr>
        <w:spacing w:after="0" w:line="169" w:lineRule="exact"/>
        <w:rPr>
          <w:rFonts w:ascii="Times New Roman" w:cs="Times New Roman" w:eastAsia="Times New Roman" w:hAnsi="Times New Roman"/>
          <w:sz w:val="17"/>
          <w:szCs w:val="17"/>
          <w:color w:val="auto"/>
        </w:rPr>
      </w:pPr>
    </w:p>
    <w:p>
      <w:pPr>
        <w:ind w:left="-20" w:firstLine="514"/>
        <w:spacing w:after="0" w:line="276" w:lineRule="auto"/>
        <w:tabs>
          <w:tab w:leader="none" w:pos="871"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Strict Construction</w:t>
      </w:r>
      <w:r>
        <w:rPr>
          <w:rFonts w:ascii="Times New Roman" w:cs="Times New Roman" w:eastAsia="Times New Roman" w:hAnsi="Times New Roman"/>
          <w:sz w:val="17"/>
          <w:szCs w:val="17"/>
          <w:color w:val="auto"/>
        </w:rPr>
        <w:t>. This Agreement shall be deemed to have been drafted by Parent and Innovate, and this Agreement shall not be construed against any party as the principal draftsperson hereof.</w:t>
      </w:r>
    </w:p>
    <w:p>
      <w:pPr>
        <w:spacing w:after="0" w:line="161" w:lineRule="exact"/>
        <w:rPr>
          <w:rFonts w:ascii="Times New Roman" w:cs="Times New Roman" w:eastAsia="Times New Roman" w:hAnsi="Times New Roman"/>
          <w:sz w:val="17"/>
          <w:szCs w:val="17"/>
          <w:color w:val="auto"/>
        </w:rPr>
      </w:pPr>
    </w:p>
    <w:p>
      <w:pPr>
        <w:ind w:left="880" w:hanging="386"/>
        <w:spacing w:after="0"/>
        <w:tabs>
          <w:tab w:leader="none" w:pos="88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Confidentiality</w:t>
      </w:r>
      <w:r>
        <w:rPr>
          <w:rFonts w:ascii="Times New Roman" w:cs="Times New Roman" w:eastAsia="Times New Roman" w:hAnsi="Times New Roman"/>
          <w:sz w:val="17"/>
          <w:szCs w:val="17"/>
          <w:color w:val="auto"/>
        </w:rPr>
        <w:t xml:space="preserve">. Section 7.09 of the Merger Agreement is hereby incorporated by reference and shall apply to this Agreement, </w:t>
      </w:r>
      <w:r>
        <w:rPr>
          <w:rFonts w:ascii="Times New Roman" w:cs="Times New Roman" w:eastAsia="Times New Roman" w:hAnsi="Times New Roman"/>
          <w:sz w:val="17"/>
          <w:szCs w:val="17"/>
          <w:i w:val="1"/>
          <w:iCs w:val="1"/>
          <w:color w:val="auto"/>
        </w:rPr>
        <w:t>mutatis mutandis</w:t>
      </w:r>
      <w:r>
        <w:rPr>
          <w:rFonts w:ascii="Times New Roman" w:cs="Times New Roman" w:eastAsia="Times New Roman" w:hAnsi="Times New Roman"/>
          <w:sz w:val="17"/>
          <w:szCs w:val="17"/>
          <w:color w:val="auto"/>
        </w:rPr>
        <w:t>.</w:t>
      </w:r>
    </w:p>
    <w:p>
      <w:pPr>
        <w:spacing w:after="0" w:line="203" w:lineRule="exact"/>
        <w:rPr>
          <w:rFonts w:ascii="Times New Roman" w:cs="Times New Roman" w:eastAsia="Times New Roman" w:hAnsi="Times New Roman"/>
          <w:sz w:val="17"/>
          <w:szCs w:val="17"/>
          <w:color w:val="auto"/>
        </w:rPr>
      </w:pPr>
    </w:p>
    <w:p>
      <w:pPr>
        <w:ind w:left="45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ectPr>
          <w:pgSz w:w="11900" w:h="16838" w:orient="portrait"/>
          <w:cols w:equalWidth="0" w:num="1">
            <w:col w:w="11260"/>
          </w:cols>
          <w:pgMar w:left="320" w:top="1148" w:right="31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6"/>
          <w:szCs w:val="16"/>
          <w:color w:val="auto"/>
        </w:rPr>
        <w:t>IN WITNESS WHEREOF, the parties hereto have executed this Option Agreement on the date first written above.</w:t>
      </w:r>
    </w:p>
    <w:p>
      <w:pPr>
        <w:sectPr>
          <w:pgSz w:w="11900" w:h="16838" w:orient="portrait"/>
          <w:cols w:equalWidth="0" w:num="1">
            <w:col w:w="10159"/>
          </w:cols>
          <w:pgMar w:left="300" w:top="1349" w:right="1440" w:bottom="1440" w:gutter="0" w:footer="0" w:header="0"/>
        </w:sectPr>
      </w:pPr>
    </w:p>
    <w:p>
      <w:pPr>
        <w:spacing w:after="0" w:line="266"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4"/>
          <w:szCs w:val="14"/>
          <w:b w:val="1"/>
          <w:bCs w:val="1"/>
          <w:color w:val="auto"/>
        </w:rPr>
        <w:t>CONX CORP.,</w:t>
      </w:r>
    </w:p>
    <w:p>
      <w:pPr>
        <w:spacing w:after="0" w:line="25"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4"/>
          <w:szCs w:val="14"/>
          <w:color w:val="auto"/>
        </w:rPr>
        <w:t>a Nevada corporation</w:t>
      </w:r>
    </w:p>
    <w:p>
      <w:pPr>
        <w:spacing w:after="0" w:line="200" w:lineRule="exact"/>
        <w:rPr>
          <w:sz w:val="20"/>
          <w:szCs w:val="20"/>
          <w:color w:val="auto"/>
        </w:rPr>
      </w:pPr>
    </w:p>
    <w:p>
      <w:pPr>
        <w:spacing w:after="0" w:line="259" w:lineRule="exact"/>
        <w:rPr>
          <w:sz w:val="20"/>
          <w:szCs w:val="20"/>
          <w:color w:val="auto"/>
        </w:rPr>
      </w:pPr>
    </w:p>
    <w:tbl>
      <w:tblPr>
        <w:tblLayout w:type="fixed"/>
        <w:tblInd w:w="3080" w:type="dxa"/>
        <w:tblCellMar>
          <w:top w:w="0" w:type="dxa"/>
          <w:left w:w="0" w:type="dxa"/>
          <w:bottom w:w="0" w:type="dxa"/>
          <w:right w:w="0" w:type="dxa"/>
        </w:tblCellMar>
      </w:tblPr>
      <w:tr>
        <w:trPr>
          <w:trHeight w:val="186"/>
        </w:trPr>
        <w:tc>
          <w:tcPr>
            <w:tcW w:w="6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By:</w:t>
            </w:r>
          </w:p>
        </w:tc>
        <w:tc>
          <w:tcPr>
            <w:tcW w:w="29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xml:space="preserve">/s/ </w:t>
            </w:r>
            <w:r>
              <w:rPr>
                <w:rFonts w:ascii="Times New Roman" w:cs="Times New Roman" w:eastAsia="Times New Roman" w:hAnsi="Times New Roman"/>
                <w:sz w:val="14"/>
                <w:szCs w:val="14"/>
                <w:i w:val="1"/>
                <w:iCs w:val="1"/>
                <w:color w:val="auto"/>
              </w:rPr>
              <w:t>Kyle Jason Kiser</w:t>
            </w:r>
          </w:p>
        </w:tc>
        <w:tc>
          <w:tcPr>
            <w:tcW w:w="0" w:type="dxa"/>
            <w:vAlign w:val="bottom"/>
          </w:tcPr>
          <w:p>
            <w:pPr>
              <w:spacing w:after="0"/>
              <w:rPr>
                <w:sz w:val="1"/>
                <w:szCs w:val="1"/>
                <w:color w:val="auto"/>
              </w:rPr>
            </w:pPr>
          </w:p>
        </w:tc>
      </w:tr>
      <w:tr>
        <w:trPr>
          <w:trHeight w:val="74"/>
        </w:trPr>
        <w:tc>
          <w:tcPr>
            <w:tcW w:w="660" w:type="dxa"/>
            <w:vAlign w:val="bottom"/>
            <w:vMerge w:val="continue"/>
          </w:tcPr>
          <w:p>
            <w:pPr>
              <w:spacing w:after="0"/>
              <w:rPr>
                <w:sz w:val="6"/>
                <w:szCs w:val="6"/>
                <w:color w:val="auto"/>
              </w:rPr>
            </w:pPr>
          </w:p>
        </w:tc>
        <w:tc>
          <w:tcPr>
            <w:tcW w:w="29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6"/>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Name:</w:t>
            </w:r>
          </w:p>
        </w:tc>
        <w:tc>
          <w:tcPr>
            <w:tcW w:w="2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Kyle Jason Kiser</w:t>
            </w:r>
          </w:p>
        </w:tc>
        <w:tc>
          <w:tcPr>
            <w:tcW w:w="0" w:type="dxa"/>
            <w:vAlign w:val="bottom"/>
          </w:tcPr>
          <w:p>
            <w:pPr>
              <w:spacing w:after="0"/>
              <w:rPr>
                <w:sz w:val="1"/>
                <w:szCs w:val="1"/>
                <w:color w:val="auto"/>
              </w:rPr>
            </w:pPr>
          </w:p>
        </w:tc>
      </w:tr>
      <w:tr>
        <w:trPr>
          <w:trHeight w:val="265"/>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2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Executive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9"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4"/>
          <w:szCs w:val="14"/>
          <w:b w:val="1"/>
          <w:bCs w:val="1"/>
          <w:color w:val="auto"/>
        </w:rPr>
        <w:t>HC2 MERGER SUB, LLC</w:t>
      </w:r>
    </w:p>
    <w:p>
      <w:pPr>
        <w:spacing w:after="0" w:line="179"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4"/>
          <w:szCs w:val="14"/>
          <w:i w:val="1"/>
          <w:iCs w:val="1"/>
          <w:color w:val="auto"/>
        </w:rPr>
        <w:t xml:space="preserve">by </w:t>
      </w:r>
      <w:r>
        <w:rPr>
          <w:rFonts w:ascii="Times New Roman" w:cs="Times New Roman" w:eastAsia="Times New Roman" w:hAnsi="Times New Roman"/>
          <w:sz w:val="14"/>
          <w:szCs w:val="14"/>
          <w:b w:val="1"/>
          <w:bCs w:val="1"/>
          <w:color w:val="auto"/>
        </w:rPr>
        <w:t>CONX CORP.</w:t>
      </w:r>
      <w:r>
        <w:rPr>
          <w:rFonts w:ascii="Times New Roman" w:cs="Times New Roman" w:eastAsia="Times New Roman" w:hAnsi="Times New Roman"/>
          <w:sz w:val="14"/>
          <w:szCs w:val="14"/>
          <w:color w:val="auto"/>
        </w:rPr>
        <w:t>, its sole Member</w:t>
      </w:r>
    </w:p>
    <w:p>
      <w:pPr>
        <w:spacing w:after="0" w:line="200" w:lineRule="exact"/>
        <w:rPr>
          <w:sz w:val="20"/>
          <w:szCs w:val="20"/>
          <w:color w:val="auto"/>
        </w:rPr>
      </w:pPr>
    </w:p>
    <w:p>
      <w:pPr>
        <w:spacing w:after="0" w:line="276" w:lineRule="exact"/>
        <w:rPr>
          <w:sz w:val="20"/>
          <w:szCs w:val="20"/>
          <w:color w:val="auto"/>
        </w:rPr>
      </w:pPr>
    </w:p>
    <w:tbl>
      <w:tblPr>
        <w:tblLayout w:type="fixed"/>
        <w:tblInd w:w="3080" w:type="dxa"/>
        <w:tblCellMar>
          <w:top w:w="0" w:type="dxa"/>
          <w:left w:w="0" w:type="dxa"/>
          <w:bottom w:w="0" w:type="dxa"/>
          <w:right w:w="0" w:type="dxa"/>
        </w:tblCellMar>
      </w:tblPr>
      <w:tr>
        <w:trPr>
          <w:trHeight w:val="186"/>
        </w:trPr>
        <w:tc>
          <w:tcPr>
            <w:tcW w:w="6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By:</w:t>
            </w:r>
          </w:p>
        </w:tc>
        <w:tc>
          <w:tcPr>
            <w:tcW w:w="29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xml:space="preserve">/s/ </w:t>
            </w:r>
            <w:r>
              <w:rPr>
                <w:rFonts w:ascii="Times New Roman" w:cs="Times New Roman" w:eastAsia="Times New Roman" w:hAnsi="Times New Roman"/>
                <w:sz w:val="14"/>
                <w:szCs w:val="14"/>
                <w:i w:val="1"/>
                <w:iCs w:val="1"/>
                <w:color w:val="auto"/>
              </w:rPr>
              <w:t>Kyle Jason Kiser</w:t>
            </w:r>
          </w:p>
        </w:tc>
        <w:tc>
          <w:tcPr>
            <w:tcW w:w="0" w:type="dxa"/>
            <w:vAlign w:val="bottom"/>
          </w:tcPr>
          <w:p>
            <w:pPr>
              <w:spacing w:after="0"/>
              <w:rPr>
                <w:sz w:val="1"/>
                <w:szCs w:val="1"/>
                <w:color w:val="auto"/>
              </w:rPr>
            </w:pPr>
          </w:p>
        </w:tc>
      </w:tr>
      <w:tr>
        <w:trPr>
          <w:trHeight w:val="74"/>
        </w:trPr>
        <w:tc>
          <w:tcPr>
            <w:tcW w:w="660" w:type="dxa"/>
            <w:vAlign w:val="bottom"/>
            <w:vMerge w:val="continue"/>
          </w:tcPr>
          <w:p>
            <w:pPr>
              <w:spacing w:after="0"/>
              <w:rPr>
                <w:sz w:val="6"/>
                <w:szCs w:val="6"/>
                <w:color w:val="auto"/>
              </w:rPr>
            </w:pPr>
          </w:p>
        </w:tc>
        <w:tc>
          <w:tcPr>
            <w:tcW w:w="29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6"/>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Name:</w:t>
            </w:r>
          </w:p>
        </w:tc>
        <w:tc>
          <w:tcPr>
            <w:tcW w:w="2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Kyle Jason Kiser</w:t>
            </w:r>
          </w:p>
        </w:tc>
        <w:tc>
          <w:tcPr>
            <w:tcW w:w="0" w:type="dxa"/>
            <w:vAlign w:val="bottom"/>
          </w:tcPr>
          <w:p>
            <w:pPr>
              <w:spacing w:after="0"/>
              <w:rPr>
                <w:sz w:val="1"/>
                <w:szCs w:val="1"/>
                <w:color w:val="auto"/>
              </w:rPr>
            </w:pPr>
          </w:p>
        </w:tc>
      </w:tr>
      <w:tr>
        <w:trPr>
          <w:trHeight w:val="265"/>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2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Executive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right"/>
        <w:ind w:right="3199"/>
        <w:spacing w:after="0"/>
        <w:rPr>
          <w:sz w:val="20"/>
          <w:szCs w:val="20"/>
          <w:color w:val="auto"/>
        </w:rPr>
      </w:pPr>
      <w:r>
        <w:rPr>
          <w:rFonts w:ascii="Times New Roman" w:cs="Times New Roman" w:eastAsia="Times New Roman" w:hAnsi="Times New Roman"/>
          <w:sz w:val="17"/>
          <w:szCs w:val="17"/>
          <w:i w:val="1"/>
          <w:iCs w:val="1"/>
          <w:color w:val="auto"/>
        </w:rPr>
        <w:t>[Signature Page to Option Agreement]</w:t>
      </w:r>
    </w:p>
    <w:p>
      <w:pPr>
        <w:sectPr>
          <w:pgSz w:w="11900" w:h="16838" w:orient="portrait"/>
          <w:cols w:equalWidth="0" w:num="1">
            <w:col w:w="10159"/>
          </w:cols>
          <w:pgMar w:left="300" w:top="1349" w:right="1440" w:bottom="1440" w:gutter="0" w:footer="0" w:header="0"/>
          <w:type w:val="continuous"/>
        </w:sectPr>
      </w:pPr>
    </w:p>
    <w:bookmarkStart w:id="224" w:name="page225"/>
    <w:bookmarkEnd w:id="224"/>
    <w:p>
      <w:pPr>
        <w:spacing w:after="0"/>
        <w:rPr>
          <w:sz w:val="20"/>
          <w:szCs w:val="20"/>
          <w:color w:val="auto"/>
        </w:rPr>
      </w:pPr>
      <w:r>
        <w:rPr>
          <w:rFonts w:ascii="Times New Roman" w:cs="Times New Roman" w:eastAsia="Times New Roman" w:hAnsi="Times New Roman"/>
          <w:sz w:val="16"/>
          <w:szCs w:val="16"/>
          <w:color w:val="auto"/>
        </w:rPr>
        <w:t>IN WITNESS WHEREOF, the parties hereto have executed this Option Agreement on the date first written above.</w:t>
      </w:r>
    </w:p>
    <w:p>
      <w:pPr>
        <w:sectPr>
          <w:pgSz w:w="11900" w:h="16838" w:orient="portrait"/>
          <w:cols w:equalWidth="0" w:num="1">
            <w:col w:w="10159"/>
          </w:cols>
          <w:pgMar w:left="300" w:top="1349" w:right="1440" w:bottom="1440" w:gutter="0" w:footer="0" w:header="0"/>
        </w:sectPr>
      </w:pPr>
    </w:p>
    <w:p>
      <w:pPr>
        <w:spacing w:after="0" w:line="266"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4"/>
          <w:szCs w:val="14"/>
          <w:b w:val="1"/>
          <w:bCs w:val="1"/>
          <w:color w:val="auto"/>
        </w:rPr>
        <w:t>HC2 BROADCASTING HOLDINGS INC.</w:t>
      </w:r>
    </w:p>
    <w:p>
      <w:pPr>
        <w:spacing w:after="0" w:line="25"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4"/>
          <w:szCs w:val="14"/>
          <w:color w:val="auto"/>
        </w:rPr>
        <w:t>a Delaware corporation</w:t>
      </w:r>
    </w:p>
    <w:p>
      <w:pPr>
        <w:spacing w:after="0" w:line="247" w:lineRule="exact"/>
        <w:rPr>
          <w:sz w:val="20"/>
          <w:szCs w:val="20"/>
          <w:color w:val="auto"/>
        </w:rPr>
      </w:pPr>
    </w:p>
    <w:tbl>
      <w:tblPr>
        <w:tblLayout w:type="fixed"/>
        <w:tblInd w:w="3080" w:type="dxa"/>
        <w:tblCellMar>
          <w:top w:w="0" w:type="dxa"/>
          <w:left w:w="0" w:type="dxa"/>
          <w:bottom w:w="0" w:type="dxa"/>
          <w:right w:w="0" w:type="dxa"/>
        </w:tblCellMar>
      </w:tblPr>
      <w:tr>
        <w:trPr>
          <w:trHeight w:val="186"/>
        </w:trPr>
        <w:tc>
          <w:tcPr>
            <w:tcW w:w="6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By:</w:t>
            </w:r>
          </w:p>
        </w:tc>
        <w:tc>
          <w:tcPr>
            <w:tcW w:w="29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xml:space="preserve">/s/ </w:t>
            </w:r>
            <w:r>
              <w:rPr>
                <w:rFonts w:ascii="Times New Roman" w:cs="Times New Roman" w:eastAsia="Times New Roman" w:hAnsi="Times New Roman"/>
                <w:sz w:val="14"/>
                <w:szCs w:val="14"/>
                <w:i w:val="1"/>
                <w:iCs w:val="1"/>
                <w:color w:val="auto"/>
              </w:rPr>
              <w:t>Roman Gorbal</w:t>
            </w:r>
          </w:p>
        </w:tc>
        <w:tc>
          <w:tcPr>
            <w:tcW w:w="0" w:type="dxa"/>
            <w:vAlign w:val="bottom"/>
          </w:tcPr>
          <w:p>
            <w:pPr>
              <w:spacing w:after="0"/>
              <w:rPr>
                <w:sz w:val="1"/>
                <w:szCs w:val="1"/>
                <w:color w:val="auto"/>
              </w:rPr>
            </w:pPr>
          </w:p>
        </w:tc>
      </w:tr>
      <w:tr>
        <w:trPr>
          <w:trHeight w:val="74"/>
        </w:trPr>
        <w:tc>
          <w:tcPr>
            <w:tcW w:w="660" w:type="dxa"/>
            <w:vAlign w:val="bottom"/>
            <w:vMerge w:val="continue"/>
          </w:tcPr>
          <w:p>
            <w:pPr>
              <w:spacing w:after="0"/>
              <w:rPr>
                <w:sz w:val="6"/>
                <w:szCs w:val="6"/>
                <w:color w:val="auto"/>
              </w:rPr>
            </w:pPr>
          </w:p>
        </w:tc>
        <w:tc>
          <w:tcPr>
            <w:tcW w:w="29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6"/>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Name:</w:t>
            </w:r>
          </w:p>
        </w:tc>
        <w:tc>
          <w:tcPr>
            <w:tcW w:w="2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Roman Gorbal</w:t>
            </w:r>
          </w:p>
        </w:tc>
        <w:tc>
          <w:tcPr>
            <w:tcW w:w="0" w:type="dxa"/>
            <w:vAlign w:val="bottom"/>
          </w:tcPr>
          <w:p>
            <w:pPr>
              <w:spacing w:after="0"/>
              <w:rPr>
                <w:sz w:val="1"/>
                <w:szCs w:val="1"/>
                <w:color w:val="auto"/>
              </w:rPr>
            </w:pPr>
          </w:p>
        </w:tc>
      </w:tr>
      <w:tr>
        <w:trPr>
          <w:trHeight w:val="265"/>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2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Financial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9"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4"/>
          <w:szCs w:val="14"/>
          <w:b w:val="1"/>
          <w:bCs w:val="1"/>
          <w:color w:val="auto"/>
        </w:rPr>
        <w:t>HC2 BROADCASTING HOLDCO, LLC</w:t>
      </w:r>
    </w:p>
    <w:p>
      <w:pPr>
        <w:spacing w:after="0" w:line="25"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4"/>
          <w:szCs w:val="14"/>
          <w:color w:val="auto"/>
        </w:rPr>
        <w:t>a Delaware limited liability company</w:t>
      </w:r>
    </w:p>
    <w:p>
      <w:pPr>
        <w:spacing w:after="0" w:line="247" w:lineRule="exact"/>
        <w:rPr>
          <w:sz w:val="20"/>
          <w:szCs w:val="20"/>
          <w:color w:val="auto"/>
        </w:rPr>
      </w:pPr>
    </w:p>
    <w:tbl>
      <w:tblPr>
        <w:tblLayout w:type="fixed"/>
        <w:tblInd w:w="3080" w:type="dxa"/>
        <w:tblCellMar>
          <w:top w:w="0" w:type="dxa"/>
          <w:left w:w="0" w:type="dxa"/>
          <w:bottom w:w="0" w:type="dxa"/>
          <w:right w:w="0" w:type="dxa"/>
        </w:tblCellMar>
      </w:tblPr>
      <w:tr>
        <w:trPr>
          <w:trHeight w:val="186"/>
        </w:trPr>
        <w:tc>
          <w:tcPr>
            <w:tcW w:w="6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By:</w:t>
            </w:r>
          </w:p>
        </w:tc>
        <w:tc>
          <w:tcPr>
            <w:tcW w:w="29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xml:space="preserve">/s/ </w:t>
            </w:r>
            <w:r>
              <w:rPr>
                <w:rFonts w:ascii="Times New Roman" w:cs="Times New Roman" w:eastAsia="Times New Roman" w:hAnsi="Times New Roman"/>
                <w:sz w:val="14"/>
                <w:szCs w:val="14"/>
                <w:i w:val="1"/>
                <w:iCs w:val="1"/>
                <w:color w:val="auto"/>
              </w:rPr>
              <w:t>Michael J. Sena</w:t>
            </w:r>
          </w:p>
        </w:tc>
        <w:tc>
          <w:tcPr>
            <w:tcW w:w="0" w:type="dxa"/>
            <w:vAlign w:val="bottom"/>
          </w:tcPr>
          <w:p>
            <w:pPr>
              <w:spacing w:after="0"/>
              <w:rPr>
                <w:sz w:val="1"/>
                <w:szCs w:val="1"/>
                <w:color w:val="auto"/>
              </w:rPr>
            </w:pPr>
          </w:p>
        </w:tc>
      </w:tr>
      <w:tr>
        <w:trPr>
          <w:trHeight w:val="74"/>
        </w:trPr>
        <w:tc>
          <w:tcPr>
            <w:tcW w:w="660" w:type="dxa"/>
            <w:vAlign w:val="bottom"/>
            <w:vMerge w:val="continue"/>
          </w:tcPr>
          <w:p>
            <w:pPr>
              <w:spacing w:after="0"/>
              <w:rPr>
                <w:sz w:val="6"/>
                <w:szCs w:val="6"/>
                <w:color w:val="auto"/>
              </w:rPr>
            </w:pPr>
          </w:p>
        </w:tc>
        <w:tc>
          <w:tcPr>
            <w:tcW w:w="29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6"/>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Name:</w:t>
            </w:r>
          </w:p>
        </w:tc>
        <w:tc>
          <w:tcPr>
            <w:tcW w:w="2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Michael J. Sena</w:t>
            </w:r>
          </w:p>
        </w:tc>
        <w:tc>
          <w:tcPr>
            <w:tcW w:w="0" w:type="dxa"/>
            <w:vAlign w:val="bottom"/>
          </w:tcPr>
          <w:p>
            <w:pPr>
              <w:spacing w:after="0"/>
              <w:rPr>
                <w:sz w:val="1"/>
                <w:szCs w:val="1"/>
                <w:color w:val="auto"/>
              </w:rPr>
            </w:pPr>
          </w:p>
        </w:tc>
      </w:tr>
      <w:tr>
        <w:trPr>
          <w:trHeight w:val="223"/>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29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Chief Executive Officer and Chief Financial</w:t>
            </w:r>
          </w:p>
        </w:tc>
        <w:tc>
          <w:tcPr>
            <w:tcW w:w="0" w:type="dxa"/>
            <w:vAlign w:val="bottom"/>
          </w:tcPr>
          <w:p>
            <w:pPr>
              <w:spacing w:after="0"/>
              <w:rPr>
                <w:sz w:val="1"/>
                <w:szCs w:val="1"/>
                <w:color w:val="auto"/>
              </w:rPr>
            </w:pPr>
          </w:p>
        </w:tc>
      </w:tr>
      <w:tr>
        <w:trPr>
          <w:trHeight w:val="184"/>
        </w:trPr>
        <w:tc>
          <w:tcPr>
            <w:tcW w:w="660" w:type="dxa"/>
            <w:vAlign w:val="bottom"/>
          </w:tcPr>
          <w:p>
            <w:pPr>
              <w:spacing w:after="0"/>
              <w:rPr>
                <w:sz w:val="16"/>
                <w:szCs w:val="16"/>
                <w:color w:val="auto"/>
              </w:rPr>
            </w:pPr>
          </w:p>
        </w:tc>
        <w:tc>
          <w:tcPr>
            <w:tcW w:w="29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4"/>
          <w:szCs w:val="14"/>
          <w:b w:val="1"/>
          <w:bCs w:val="1"/>
          <w:color w:val="auto"/>
        </w:rPr>
        <w:t>INNOVATE CORP.</w:t>
      </w:r>
    </w:p>
    <w:p>
      <w:pPr>
        <w:spacing w:after="0" w:line="25"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4"/>
          <w:szCs w:val="14"/>
          <w:color w:val="auto"/>
        </w:rPr>
        <w:t>a Delaware corporation</w:t>
      </w:r>
    </w:p>
    <w:p>
      <w:pPr>
        <w:spacing w:after="0" w:line="247" w:lineRule="exact"/>
        <w:rPr>
          <w:sz w:val="20"/>
          <w:szCs w:val="20"/>
          <w:color w:val="auto"/>
        </w:rPr>
      </w:pPr>
    </w:p>
    <w:tbl>
      <w:tblPr>
        <w:tblLayout w:type="fixed"/>
        <w:tblInd w:w="3080" w:type="dxa"/>
        <w:tblCellMar>
          <w:top w:w="0" w:type="dxa"/>
          <w:left w:w="0" w:type="dxa"/>
          <w:bottom w:w="0" w:type="dxa"/>
          <w:right w:w="0" w:type="dxa"/>
        </w:tblCellMar>
      </w:tblPr>
      <w:tr>
        <w:trPr>
          <w:trHeight w:val="186"/>
        </w:trPr>
        <w:tc>
          <w:tcPr>
            <w:tcW w:w="6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By:</w:t>
            </w:r>
          </w:p>
        </w:tc>
        <w:tc>
          <w:tcPr>
            <w:tcW w:w="29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xml:space="preserve">/s/ </w:t>
            </w:r>
            <w:r>
              <w:rPr>
                <w:rFonts w:ascii="Times New Roman" w:cs="Times New Roman" w:eastAsia="Times New Roman" w:hAnsi="Times New Roman"/>
                <w:sz w:val="14"/>
                <w:szCs w:val="14"/>
                <w:i w:val="1"/>
                <w:iCs w:val="1"/>
                <w:color w:val="auto"/>
              </w:rPr>
              <w:t>Michael J. Sena</w:t>
            </w:r>
          </w:p>
        </w:tc>
        <w:tc>
          <w:tcPr>
            <w:tcW w:w="0" w:type="dxa"/>
            <w:vAlign w:val="bottom"/>
          </w:tcPr>
          <w:p>
            <w:pPr>
              <w:spacing w:after="0"/>
              <w:rPr>
                <w:sz w:val="1"/>
                <w:szCs w:val="1"/>
                <w:color w:val="auto"/>
              </w:rPr>
            </w:pPr>
          </w:p>
        </w:tc>
      </w:tr>
      <w:tr>
        <w:trPr>
          <w:trHeight w:val="74"/>
        </w:trPr>
        <w:tc>
          <w:tcPr>
            <w:tcW w:w="660" w:type="dxa"/>
            <w:vAlign w:val="bottom"/>
            <w:vMerge w:val="continue"/>
          </w:tcPr>
          <w:p>
            <w:pPr>
              <w:spacing w:after="0"/>
              <w:rPr>
                <w:sz w:val="6"/>
                <w:szCs w:val="6"/>
                <w:color w:val="auto"/>
              </w:rPr>
            </w:pPr>
          </w:p>
        </w:tc>
        <w:tc>
          <w:tcPr>
            <w:tcW w:w="29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6"/>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Name:</w:t>
            </w:r>
          </w:p>
        </w:tc>
        <w:tc>
          <w:tcPr>
            <w:tcW w:w="2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Michael J. Sena</w:t>
            </w:r>
          </w:p>
        </w:tc>
        <w:tc>
          <w:tcPr>
            <w:tcW w:w="0" w:type="dxa"/>
            <w:vAlign w:val="bottom"/>
          </w:tcPr>
          <w:p>
            <w:pPr>
              <w:spacing w:after="0"/>
              <w:rPr>
                <w:sz w:val="1"/>
                <w:szCs w:val="1"/>
                <w:color w:val="auto"/>
              </w:rPr>
            </w:pPr>
          </w:p>
        </w:tc>
      </w:tr>
      <w:tr>
        <w:trPr>
          <w:trHeight w:val="265"/>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2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Financial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right"/>
        <w:ind w:right="3199"/>
        <w:spacing w:after="0"/>
        <w:rPr>
          <w:sz w:val="20"/>
          <w:szCs w:val="20"/>
          <w:color w:val="auto"/>
        </w:rPr>
      </w:pPr>
      <w:r>
        <w:rPr>
          <w:rFonts w:ascii="Times New Roman" w:cs="Times New Roman" w:eastAsia="Times New Roman" w:hAnsi="Times New Roman"/>
          <w:sz w:val="17"/>
          <w:szCs w:val="17"/>
          <w:i w:val="1"/>
          <w:iCs w:val="1"/>
          <w:color w:val="auto"/>
        </w:rPr>
        <w:t>[Signature Page to Option Agreement]</w:t>
      </w:r>
    </w:p>
    <w:p>
      <w:pPr>
        <w:sectPr>
          <w:pgSz w:w="11900" w:h="16838" w:orient="portrait"/>
          <w:cols w:equalWidth="0" w:num="1">
            <w:col w:w="10159"/>
          </w:cols>
          <w:pgMar w:left="300" w:top="1349" w:right="1440" w:bottom="1440" w:gutter="0" w:footer="0" w:header="0"/>
          <w:type w:val="continuous"/>
        </w:sectPr>
      </w:pPr>
    </w:p>
    <w:bookmarkStart w:id="225" w:name="page226"/>
    <w:bookmarkEnd w:id="225"/>
    <w:p>
      <w:pPr>
        <w:jc w:val="center"/>
        <w:spacing w:after="0"/>
        <w:rPr>
          <w:sz w:val="20"/>
          <w:szCs w:val="20"/>
          <w:color w:val="auto"/>
        </w:rPr>
      </w:pPr>
      <w:r>
        <w:rPr>
          <w:rFonts w:ascii="Times New Roman" w:cs="Times New Roman" w:eastAsia="Times New Roman" w:hAnsi="Times New Roman"/>
          <w:sz w:val="17"/>
          <w:szCs w:val="17"/>
          <w:u w:val="single" w:color="auto"/>
          <w:color w:val="auto"/>
        </w:rPr>
        <w:t>Exhibit A</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Form of Option Exercise Notice</w:t>
      </w:r>
    </w:p>
    <w:p>
      <w:pPr>
        <w:spacing w:after="0" w:line="2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[Date]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CONX Corp.</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 Option – Exercise Notice</w:t>
      </w:r>
    </w:p>
    <w:p>
      <w:pPr>
        <w:spacing w:after="0" w:line="20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Reference is made to the Option Agreement (the “</w:t>
      </w:r>
      <w:r>
        <w:rPr>
          <w:rFonts w:ascii="Times New Roman" w:cs="Times New Roman" w:eastAsia="Times New Roman" w:hAnsi="Times New Roman"/>
          <w:sz w:val="17"/>
          <w:szCs w:val="17"/>
          <w:b w:val="1"/>
          <w:bCs w:val="1"/>
          <w:color w:val="auto"/>
        </w:rPr>
        <w:t>Agreement</w:t>
      </w:r>
      <w:r>
        <w:rPr>
          <w:rFonts w:ascii="Times New Roman" w:cs="Times New Roman" w:eastAsia="Times New Roman" w:hAnsi="Times New Roman"/>
          <w:sz w:val="17"/>
          <w:szCs w:val="17"/>
          <w:color w:val="auto"/>
        </w:rPr>
        <w:t>”), entered into on [•], 2026 by and among CONX Corp., a Nevada corporation (“</w:t>
      </w:r>
      <w:r>
        <w:rPr>
          <w:rFonts w:ascii="Times New Roman" w:cs="Times New Roman" w:eastAsia="Times New Roman" w:hAnsi="Times New Roman"/>
          <w:sz w:val="17"/>
          <w:szCs w:val="17"/>
          <w:b w:val="1"/>
          <w:bCs w:val="1"/>
          <w:color w:val="auto"/>
        </w:rPr>
        <w:t>Parent</w:t>
      </w:r>
      <w:r>
        <w:rPr>
          <w:rFonts w:ascii="Times New Roman" w:cs="Times New Roman" w:eastAsia="Times New Roman" w:hAnsi="Times New Roman"/>
          <w:sz w:val="17"/>
          <w:szCs w:val="17"/>
          <w:color w:val="auto"/>
        </w:rPr>
        <w:t>”), HC2 Merger Sub, LLC, a Delaware limited liability company, HC2 Broadcasting Holdings, Inc., a Delaware corporation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HC2 Broadcasting Holdco LLC, a Delaware limited liability company (“</w:t>
      </w:r>
      <w:r>
        <w:rPr>
          <w:rFonts w:ascii="Times New Roman" w:cs="Times New Roman" w:eastAsia="Times New Roman" w:hAnsi="Times New Roman"/>
          <w:sz w:val="17"/>
          <w:szCs w:val="17"/>
          <w:b w:val="1"/>
          <w:bCs w:val="1"/>
          <w:color w:val="auto"/>
        </w:rPr>
        <w:t>Innovate</w:t>
      </w:r>
      <w:r>
        <w:rPr>
          <w:rFonts w:ascii="Times New Roman" w:cs="Times New Roman" w:eastAsia="Times New Roman" w:hAnsi="Times New Roman"/>
          <w:sz w:val="17"/>
          <w:szCs w:val="17"/>
          <w:color w:val="auto"/>
        </w:rPr>
        <w:t>”), and Innovate Corp., a Delaware corporation (“</w:t>
      </w:r>
      <w:r>
        <w:rPr>
          <w:rFonts w:ascii="Times New Roman" w:cs="Times New Roman" w:eastAsia="Times New Roman" w:hAnsi="Times New Roman"/>
          <w:sz w:val="17"/>
          <w:szCs w:val="17"/>
          <w:b w:val="1"/>
          <w:bCs w:val="1"/>
          <w:color w:val="auto"/>
        </w:rPr>
        <w:t>Innovate Parent</w:t>
      </w:r>
      <w:r>
        <w:rPr>
          <w:rFonts w:ascii="Times New Roman" w:cs="Times New Roman" w:eastAsia="Times New Roman" w:hAnsi="Times New Roman"/>
          <w:sz w:val="17"/>
          <w:szCs w:val="17"/>
          <w:color w:val="auto"/>
        </w:rPr>
        <w:t>”). Capitalized terms used but not defined in this letter shall have the meanings ascribed to them in the Agreement.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Pursuant to Section 1 of the Agreement, Innovate hereby provides this notice exercising the Option, on the terms and subject to the conditions set forth in the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Agreement, as follows:</w:t>
      </w:r>
    </w:p>
    <w:p>
      <w:pPr>
        <w:spacing w:after="0" w:line="73" w:lineRule="exact"/>
        <w:rPr>
          <w:sz w:val="20"/>
          <w:szCs w:val="20"/>
          <w:color w:val="auto"/>
        </w:rPr>
      </w:pPr>
    </w:p>
    <w:p>
      <w:pPr>
        <w:ind w:left="520" w:hanging="260"/>
        <w:spacing w:after="0" w:line="276" w:lineRule="auto"/>
        <w:tabs>
          <w:tab w:leader="none" w:pos="584"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Exercise Amount</w:t>
      </w:r>
      <w:r>
        <w:rPr>
          <w:rFonts w:ascii="Times New Roman" w:cs="Times New Roman" w:eastAsia="Times New Roman" w:hAnsi="Times New Roman"/>
          <w:sz w:val="17"/>
          <w:szCs w:val="17"/>
          <w:color w:val="auto"/>
        </w:rPr>
        <w:t>. Innovate shall pay an Exercise Amount of $[•] pursuant to the Agreement, representing a [full/partial] exercise of the Option. [Following this exercise, the Remaining Option Purchase Price under the Agreement shall be $[•].]</w:t>
      </w:r>
    </w:p>
    <w:p>
      <w:pPr>
        <w:spacing w:after="0" w:line="49" w:lineRule="exact"/>
        <w:rPr>
          <w:rFonts w:ascii="Times New Roman" w:cs="Times New Roman" w:eastAsia="Times New Roman" w:hAnsi="Times New Roman"/>
          <w:sz w:val="17"/>
          <w:szCs w:val="17"/>
          <w:color w:val="auto"/>
        </w:rPr>
      </w:pPr>
    </w:p>
    <w:p>
      <w:pPr>
        <w:ind w:left="520" w:hanging="260"/>
        <w:spacing w:after="0" w:line="276" w:lineRule="auto"/>
        <w:tabs>
          <w:tab w:leader="none" w:pos="615"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Company Equity Interests to Be Sold</w:t>
      </w:r>
      <w:r>
        <w:rPr>
          <w:rFonts w:ascii="Times New Roman" w:cs="Times New Roman" w:eastAsia="Times New Roman" w:hAnsi="Times New Roman"/>
          <w:sz w:val="17"/>
          <w:szCs w:val="17"/>
          <w:color w:val="auto"/>
        </w:rPr>
        <w:t>. The amount of Company Equity Interests to be sold by Parent to Innovate shall be determined in accordance with Section 2(c) of the Agreement and set forth in such Fully Diluted Equity Interests Certificate.</w:t>
      </w:r>
    </w:p>
    <w:p>
      <w:pPr>
        <w:spacing w:after="0" w:line="38" w:lineRule="exact"/>
        <w:rPr>
          <w:rFonts w:ascii="Times New Roman" w:cs="Times New Roman" w:eastAsia="Times New Roman" w:hAnsi="Times New Roman"/>
          <w:sz w:val="17"/>
          <w:szCs w:val="17"/>
          <w:color w:val="auto"/>
        </w:rPr>
      </w:pPr>
    </w:p>
    <w:p>
      <w:pPr>
        <w:jc w:val="both"/>
        <w:ind w:left="520" w:hanging="260"/>
        <w:spacing w:after="0" w:line="258" w:lineRule="auto"/>
        <w:tabs>
          <w:tab w:leader="none" w:pos="589"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Innovate hereby certifies to Parent that (a) the representations and warranties to be made by Innovate and Innovate Parent on the applicable Option Closing Date are true and correct in all material respects as of the date of this Option Exercise Notice and will be true and correct in all material respects as of the applicable Option Closing Date and (b) Innovate and Innovate Parent have complied with all covenants and agreements under this Agreement required to be complied with by Innovate or Innovate Parent in all material respects as of the date of the Option Exercise Notice and will be in compliance with all such covenants and agreements in all material respects as of the applicable Option Closing Date.</w:t>
      </w:r>
    </w:p>
    <w:p>
      <w:pPr>
        <w:sectPr>
          <w:pgSz w:w="11900" w:h="16838" w:orient="portrait"/>
          <w:cols w:equalWidth="0" w:num="1">
            <w:col w:w="11280"/>
          </w:cols>
          <w:pgMar w:left="300" w:top="1350" w:right="319" w:bottom="1440" w:gutter="0" w:footer="0" w:header="0"/>
        </w:sectPr>
      </w:pPr>
    </w:p>
    <w:bookmarkStart w:id="226" w:name="page227"/>
    <w:bookmarkEnd w:id="226"/>
    <w:p>
      <w:pPr>
        <w:ind w:left="2200"/>
        <w:spacing w:after="0"/>
        <w:rPr>
          <w:sz w:val="20"/>
          <w:szCs w:val="20"/>
          <w:color w:val="auto"/>
        </w:rPr>
      </w:pPr>
      <w:r>
        <w:rPr>
          <w:rFonts w:ascii="Times New Roman" w:cs="Times New Roman" w:eastAsia="Times New Roman" w:hAnsi="Times New Roman"/>
          <w:sz w:val="17"/>
          <w:szCs w:val="17"/>
          <w:b w:val="1"/>
          <w:bCs w:val="1"/>
          <w:color w:val="auto"/>
        </w:rPr>
        <w:t>HC2 BROADCASTING HOLDCO LLC</w:t>
      </w:r>
    </w:p>
    <w:p>
      <w:pPr>
        <w:spacing w:after="0" w:line="200" w:lineRule="exact"/>
        <w:rPr>
          <w:sz w:val="20"/>
          <w:szCs w:val="20"/>
          <w:color w:val="auto"/>
        </w:rPr>
      </w:pPr>
    </w:p>
    <w:p>
      <w:pPr>
        <w:spacing w:after="0" w:line="203"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7"/>
          <w:szCs w:val="17"/>
          <w:color w:val="auto"/>
        </w:rPr>
        <w:t>By: __________________________</w:t>
      </w:r>
    </w:p>
    <w:p>
      <w:pPr>
        <w:spacing w:after="0" w:line="59"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7"/>
          <w:szCs w:val="17"/>
          <w:color w:val="auto"/>
        </w:rPr>
        <w:t>Name:</w:t>
      </w:r>
    </w:p>
    <w:p>
      <w:pPr>
        <w:spacing w:after="0" w:line="59"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7"/>
          <w:szCs w:val="17"/>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[Signature Page to Option Agreement]</w:t>
      </w:r>
    </w:p>
    <w:p>
      <w:pPr>
        <w:sectPr>
          <w:pgSz w:w="11900" w:h="16838" w:orient="portrait"/>
          <w:cols w:equalWidth="0" w:num="1">
            <w:col w:w="9019"/>
          </w:cols>
          <w:pgMar w:left="1440" w:top="1250" w:right="1440" w:bottom="1440" w:gutter="0" w:footer="0" w:header="0"/>
        </w:sectPr>
      </w:pPr>
    </w:p>
    <w:bookmarkStart w:id="227" w:name="page228"/>
    <w:bookmarkEnd w:id="227"/>
    <w:p>
      <w:pPr>
        <w:jc w:val="right"/>
        <w:spacing w:after="0"/>
        <w:rPr>
          <w:sz w:val="20"/>
          <w:szCs w:val="20"/>
          <w:color w:val="auto"/>
        </w:rPr>
      </w:pPr>
      <w:r>
        <w:rPr>
          <w:rFonts w:ascii="Times New Roman" w:cs="Times New Roman" w:eastAsia="Times New Roman" w:hAnsi="Times New Roman"/>
          <w:sz w:val="17"/>
          <w:szCs w:val="17"/>
          <w:b w:val="1"/>
          <w:bCs w:val="1"/>
          <w:color w:val="auto"/>
        </w:rPr>
        <w:t>Exhibit 10.6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6"/>
          <w:szCs w:val="16"/>
          <w:b w:val="1"/>
          <w:bCs w:val="1"/>
          <w:color w:val="auto"/>
        </w:rPr>
        <w:t>CONX CORP.</w:t>
      </w:r>
    </w:p>
    <w:p>
      <w:pPr>
        <w:spacing w:after="0" w:line="16"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6"/>
          <w:szCs w:val="16"/>
          <w:b w:val="1"/>
          <w:bCs w:val="1"/>
          <w:color w:val="auto"/>
        </w:rPr>
        <w:t>5701 S. Santa Fe Dr.</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Littleton, CO 80120</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EchoStar Corporation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9601 South Meridian Boulevard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Englewood, CO 80112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Innovate Corp.</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295 Madison Avenue, 12th Floor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 York, NY 10017</w:t>
      </w:r>
    </w:p>
    <w:p>
      <w:pPr>
        <w:spacing w:after="0" w:line="1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May 29, 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Whom it May Concern:</w:t>
      </w:r>
    </w:p>
    <w:p>
      <w:pPr>
        <w:spacing w:after="0" w:line="166" w:lineRule="exact"/>
        <w:rPr>
          <w:sz w:val="20"/>
          <w:szCs w:val="20"/>
          <w:color w:val="auto"/>
        </w:rPr>
      </w:pPr>
    </w:p>
    <w:p>
      <w:pPr>
        <w:jc w:val="both"/>
        <w:ind w:firstLine="222"/>
        <w:spacing w:after="0" w:line="251" w:lineRule="auto"/>
        <w:rPr>
          <w:sz w:val="20"/>
          <w:szCs w:val="20"/>
          <w:color w:val="auto"/>
        </w:rPr>
      </w:pPr>
      <w:r>
        <w:rPr>
          <w:rFonts w:ascii="Times New Roman" w:cs="Times New Roman" w:eastAsia="Times New Roman" w:hAnsi="Times New Roman"/>
          <w:sz w:val="16"/>
          <w:szCs w:val="16"/>
          <w:color w:val="auto"/>
        </w:rPr>
        <w:t>Reference is made to (a) that certain Agreement and Plan of Merger, dated as of the date hereof (the “</w:t>
      </w:r>
      <w:r>
        <w:rPr>
          <w:rFonts w:ascii="Times New Roman" w:cs="Times New Roman" w:eastAsia="Times New Roman" w:hAnsi="Times New Roman"/>
          <w:sz w:val="16"/>
          <w:szCs w:val="16"/>
          <w:u w:val="single" w:color="auto"/>
          <w:color w:val="auto"/>
        </w:rPr>
        <w:t>Merger Agreement</w:t>
      </w:r>
      <w:r>
        <w:rPr>
          <w:rFonts w:ascii="Times New Roman" w:cs="Times New Roman" w:eastAsia="Times New Roman" w:hAnsi="Times New Roman"/>
          <w:sz w:val="16"/>
          <w:szCs w:val="16"/>
          <w:color w:val="auto"/>
        </w:rPr>
        <w:t>”), by and by and among CONX Corp., a Nevada corporation (“</w:t>
      </w:r>
      <w:r>
        <w:rPr>
          <w:rFonts w:ascii="Times New Roman" w:cs="Times New Roman" w:eastAsia="Times New Roman" w:hAnsi="Times New Roman"/>
          <w:sz w:val="16"/>
          <w:szCs w:val="16"/>
          <w:u w:val="single" w:color="auto"/>
          <w:color w:val="auto"/>
        </w:rPr>
        <w:t>CONX</w:t>
      </w:r>
      <w:r>
        <w:rPr>
          <w:rFonts w:ascii="Times New Roman" w:cs="Times New Roman" w:eastAsia="Times New Roman" w:hAnsi="Times New Roman"/>
          <w:sz w:val="16"/>
          <w:szCs w:val="16"/>
          <w:color w:val="auto"/>
        </w:rPr>
        <w:t>”), HC2 Merger Sub, LLC, a Delaware limited liability company and wholly owned subsidiary of CONX (“</w:t>
      </w:r>
      <w:r>
        <w:rPr>
          <w:rFonts w:ascii="Times New Roman" w:cs="Times New Roman" w:eastAsia="Times New Roman" w:hAnsi="Times New Roman"/>
          <w:sz w:val="16"/>
          <w:szCs w:val="16"/>
          <w:u w:val="single" w:color="auto"/>
          <w:color w:val="auto"/>
        </w:rPr>
        <w:t>Merger Sub</w:t>
      </w:r>
      <w:r>
        <w:rPr>
          <w:rFonts w:ascii="Times New Roman" w:cs="Times New Roman" w:eastAsia="Times New Roman" w:hAnsi="Times New Roman"/>
          <w:sz w:val="16"/>
          <w:szCs w:val="16"/>
          <w:color w:val="auto"/>
        </w:rPr>
        <w:t>”), HC2 Broadcasting Holdco, LLC, a Delaware limited liability company (“</w:t>
      </w:r>
      <w:r>
        <w:rPr>
          <w:rFonts w:ascii="Times New Roman" w:cs="Times New Roman" w:eastAsia="Times New Roman" w:hAnsi="Times New Roman"/>
          <w:sz w:val="16"/>
          <w:szCs w:val="16"/>
          <w:u w:val="single" w:color="auto"/>
          <w:color w:val="auto"/>
        </w:rPr>
        <w:t>Seller</w:t>
      </w:r>
      <w:r>
        <w:rPr>
          <w:rFonts w:ascii="Times New Roman" w:cs="Times New Roman" w:eastAsia="Times New Roman" w:hAnsi="Times New Roman"/>
          <w:sz w:val="16"/>
          <w:szCs w:val="16"/>
          <w:color w:val="auto"/>
        </w:rPr>
        <w:t>”), and HC2 Broadcasting Holdings Inc., a Delaware corporation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and (b) that certain Loan Agreement, dated as of the date hereof (the “</w:t>
      </w:r>
      <w:r>
        <w:rPr>
          <w:rFonts w:ascii="Times New Roman" w:cs="Times New Roman" w:eastAsia="Times New Roman" w:hAnsi="Times New Roman"/>
          <w:sz w:val="16"/>
          <w:szCs w:val="16"/>
          <w:u w:val="single" w:color="auto"/>
          <w:color w:val="auto"/>
        </w:rPr>
        <w:t>Loan Agreement</w:t>
      </w:r>
      <w:r>
        <w:rPr>
          <w:rFonts w:ascii="Times New Roman" w:cs="Times New Roman" w:eastAsia="Times New Roman" w:hAnsi="Times New Roman"/>
          <w:sz w:val="16"/>
          <w:szCs w:val="16"/>
          <w:color w:val="auto"/>
        </w:rPr>
        <w:t>”), by and between the Company, the Guarantors party thereto and Merger Sub, as lender. Capitalized terms used but not defined in this letter agreement (this “</w:t>
      </w:r>
      <w:r>
        <w:rPr>
          <w:rFonts w:ascii="Times New Roman" w:cs="Times New Roman" w:eastAsia="Times New Roman" w:hAnsi="Times New Roman"/>
          <w:sz w:val="16"/>
          <w:szCs w:val="16"/>
          <w:u w:val="single" w:color="auto"/>
          <w:color w:val="auto"/>
        </w:rPr>
        <w:t>Letter Agreement</w:t>
      </w:r>
      <w:r>
        <w:rPr>
          <w:rFonts w:ascii="Times New Roman" w:cs="Times New Roman" w:eastAsia="Times New Roman" w:hAnsi="Times New Roman"/>
          <w:sz w:val="16"/>
          <w:szCs w:val="16"/>
          <w:color w:val="auto"/>
        </w:rPr>
        <w:t>”) shall have the same meanings ascribed to such terms in the Merger Agreement unless the context otherwise requires.</w:t>
      </w:r>
    </w:p>
    <w:p>
      <w:pPr>
        <w:spacing w:after="0" w:line="14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For good and valuable consideration, the receipt and sufficiency of which is hereby acknowledged, CONX, Innovate Corp., a Delaware corporation (“</w:t>
      </w:r>
      <w:r>
        <w:rPr>
          <w:rFonts w:ascii="Times New Roman" w:cs="Times New Roman" w:eastAsia="Times New Roman" w:hAnsi="Times New Roman"/>
          <w:sz w:val="14"/>
          <w:szCs w:val="14"/>
          <w:u w:val="single" w:color="auto"/>
          <w:color w:val="auto"/>
        </w:rPr>
        <w:t>Innovate Parent</w:t>
      </w:r>
      <w:r>
        <w:rPr>
          <w:rFonts w:ascii="Times New Roman" w:cs="Times New Roman" w:eastAsia="Times New Roman" w:hAnsi="Times New Roman"/>
          <w:sz w:val="14"/>
          <w:szCs w:val="14"/>
          <w:color w:val="auto"/>
        </w:rPr>
        <w:t>”), and</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EchoStar Corporation, a Nevada corporation (“</w:t>
      </w:r>
      <w:r>
        <w:rPr>
          <w:rFonts w:ascii="Times New Roman" w:cs="Times New Roman" w:eastAsia="Times New Roman" w:hAnsi="Times New Roman"/>
          <w:sz w:val="16"/>
          <w:szCs w:val="16"/>
          <w:u w:val="single" w:color="auto"/>
          <w:color w:val="auto"/>
        </w:rPr>
        <w:t>EchoStar</w:t>
      </w:r>
      <w:r>
        <w:rPr>
          <w:rFonts w:ascii="Times New Roman" w:cs="Times New Roman" w:eastAsia="Times New Roman" w:hAnsi="Times New Roman"/>
          <w:sz w:val="16"/>
          <w:szCs w:val="16"/>
          <w:color w:val="auto"/>
        </w:rPr>
        <w:t>”), each mutually agree as follows:</w:t>
      </w:r>
    </w:p>
    <w:p>
      <w:pPr>
        <w:spacing w:after="0" w:line="155" w:lineRule="exact"/>
        <w:rPr>
          <w:sz w:val="20"/>
          <w:szCs w:val="20"/>
          <w:color w:val="auto"/>
        </w:rPr>
      </w:pPr>
    </w:p>
    <w:p>
      <w:pPr>
        <w:jc w:val="both"/>
        <w:ind w:left="520" w:hanging="260"/>
        <w:spacing w:after="0" w:line="252" w:lineRule="auto"/>
        <w:tabs>
          <w:tab w:leader="none" w:pos="52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connection with the execution and delivery of the Merger Agreement, Parent and Innovate Parent desire to grant EchoStar the option (the “</w:t>
      </w:r>
      <w:r>
        <w:rPr>
          <w:rFonts w:ascii="Times New Roman" w:cs="Times New Roman" w:eastAsia="Times New Roman" w:hAnsi="Times New Roman"/>
          <w:sz w:val="16"/>
          <w:szCs w:val="16"/>
          <w:u w:val="single" w:color="auto"/>
          <w:color w:val="auto"/>
        </w:rPr>
        <w:t>Option</w:t>
      </w:r>
      <w:r>
        <w:rPr>
          <w:rFonts w:ascii="Times New Roman" w:cs="Times New Roman" w:eastAsia="Times New Roman" w:hAnsi="Times New Roman"/>
          <w:sz w:val="16"/>
          <w:szCs w:val="16"/>
          <w:color w:val="auto"/>
        </w:rPr>
        <w:t>”), for a period beginning on the date hereof and ending on the date that is two years following the date hereof (the “</w:t>
      </w:r>
      <w:r>
        <w:rPr>
          <w:rFonts w:ascii="Times New Roman" w:cs="Times New Roman" w:eastAsia="Times New Roman" w:hAnsi="Times New Roman"/>
          <w:sz w:val="16"/>
          <w:szCs w:val="16"/>
          <w:u w:val="single" w:color="auto"/>
          <w:color w:val="auto"/>
        </w:rPr>
        <w:t>Exercise Deadline</w:t>
      </w:r>
      <w:r>
        <w:rPr>
          <w:rFonts w:ascii="Times New Roman" w:cs="Times New Roman" w:eastAsia="Times New Roman" w:hAnsi="Times New Roman"/>
          <w:sz w:val="16"/>
          <w:szCs w:val="16"/>
          <w:color w:val="auto"/>
        </w:rPr>
        <w:t>”) to acquire up to 80.1% of the equity interests of the Company (“</w:t>
      </w:r>
      <w:r>
        <w:rPr>
          <w:rFonts w:ascii="Times New Roman" w:cs="Times New Roman" w:eastAsia="Times New Roman" w:hAnsi="Times New Roman"/>
          <w:sz w:val="16"/>
          <w:szCs w:val="16"/>
          <w:u w:val="single" w:color="auto"/>
          <w:color w:val="auto"/>
        </w:rPr>
        <w:t>HC2 Equity Interests</w:t>
      </w:r>
      <w:r>
        <w:rPr>
          <w:rFonts w:ascii="Times New Roman" w:cs="Times New Roman" w:eastAsia="Times New Roman" w:hAnsi="Times New Roman"/>
          <w:sz w:val="16"/>
          <w:szCs w:val="16"/>
          <w:color w:val="auto"/>
        </w:rPr>
        <w:t>”) in the aggregate on a fully-diluted basis (the “</w:t>
      </w:r>
      <w:r>
        <w:rPr>
          <w:rFonts w:ascii="Times New Roman" w:cs="Times New Roman" w:eastAsia="Times New Roman" w:hAnsi="Times New Roman"/>
          <w:sz w:val="16"/>
          <w:szCs w:val="16"/>
          <w:u w:val="single" w:color="auto"/>
          <w:color w:val="auto"/>
        </w:rPr>
        <w:t>Equity Cap</w:t>
      </w:r>
      <w:r>
        <w:rPr>
          <w:rFonts w:ascii="Times New Roman" w:cs="Times New Roman" w:eastAsia="Times New Roman" w:hAnsi="Times New Roman"/>
          <w:sz w:val="16"/>
          <w:szCs w:val="16"/>
          <w:color w:val="auto"/>
        </w:rPr>
        <w:t xml:space="preserve">”) on the terms and subject to the conditions set forth in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xml:space="preserve"> attached hereto.</w:t>
      </w:r>
    </w:p>
    <w:p>
      <w:pPr>
        <w:spacing w:after="0" w:line="171" w:lineRule="exact"/>
        <w:rPr>
          <w:rFonts w:ascii="Times New Roman" w:cs="Times New Roman" w:eastAsia="Times New Roman" w:hAnsi="Times New Roman"/>
          <w:sz w:val="16"/>
          <w:szCs w:val="16"/>
          <w:color w:val="auto"/>
        </w:rPr>
      </w:pPr>
    </w:p>
    <w:p>
      <w:pPr>
        <w:ind w:left="520" w:hanging="260"/>
        <w:spacing w:after="0" w:line="259" w:lineRule="auto"/>
        <w:tabs>
          <w:tab w:leader="none" w:pos="52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the event EchoStar chooses to exercise the Option prior to the Exercise Deadline, EchoStar shall deliver an Exercise Notice (as defined in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xml:space="preserve">) on the terms and subject to the conditions set forth in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w:t>
      </w:r>
    </w:p>
    <w:p>
      <w:pPr>
        <w:spacing w:after="0" w:line="165" w:lineRule="exact"/>
        <w:rPr>
          <w:rFonts w:ascii="Times New Roman" w:cs="Times New Roman" w:eastAsia="Times New Roman" w:hAnsi="Times New Roman"/>
          <w:sz w:val="16"/>
          <w:szCs w:val="16"/>
          <w:color w:val="auto"/>
        </w:rPr>
      </w:pPr>
    </w:p>
    <w:p>
      <w:pPr>
        <w:jc w:val="both"/>
        <w:ind w:left="520" w:hanging="260"/>
        <w:spacing w:after="0" w:line="248" w:lineRule="auto"/>
        <w:tabs>
          <w:tab w:leader="none" w:pos="52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the delivery of an Exercise Notice prior to the occurrence of the Closing, the parties hereto shall cooperate in good faith to negotiate and enter into, as promptly as reasonably practicable, definitive documentation required to (a) assign some or all of CONX’s rights and obligations under the Merger Agreement and any ancillary agreements thereto, including the right to receive equity interests in the Company in accordance with the Merger Agreement, and the obligation to make the payments required by the Equity Commitment Letters, to EchoStar or one of its subsidiaries, (b) assign Merger Sub’s rights and obligations under the Loan Agreement and any ancillary agreements thereto to EchoStar or one of its subsidiaries and (c) amend the Merger</w:t>
      </w:r>
    </w:p>
    <w:p>
      <w:pPr>
        <w:sectPr>
          <w:pgSz w:w="11900" w:h="16838" w:orient="portrait"/>
          <w:cols w:equalWidth="0" w:num="1">
            <w:col w:w="11280"/>
          </w:cols>
          <w:pgMar w:left="300" w:top="125" w:right="319" w:bottom="1440" w:gutter="0" w:footer="0" w:header="0"/>
        </w:sectPr>
      </w:pPr>
    </w:p>
    <w:bookmarkStart w:id="228" w:name="page229"/>
    <w:bookmarkEnd w:id="228"/>
    <w:p>
      <w:pPr>
        <w:jc w:val="both"/>
        <w:ind w:left="260"/>
        <w:spacing w:after="0" w:line="248" w:lineRule="auto"/>
        <w:rPr>
          <w:sz w:val="20"/>
          <w:szCs w:val="20"/>
          <w:color w:val="auto"/>
        </w:rPr>
      </w:pPr>
      <w:r>
        <w:rPr>
          <w:rFonts w:ascii="Times New Roman" w:cs="Times New Roman" w:eastAsia="Times New Roman" w:hAnsi="Times New Roman"/>
          <w:sz w:val="16"/>
          <w:szCs w:val="16"/>
          <w:color w:val="auto"/>
        </w:rPr>
        <w:t xml:space="preserve">Agreement to reflect that EchoStar or its subsidiaries will receive an amount of Company Common Stock equal to the Equity Cap at the consummation of the Closing, in each case on the terms and subject to the conditions set forth in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xml:space="preserve"> (including the potential exercise of the Innovate Option and the 100% Acquisition Election set forth therein). For the avoidance of doubt, upon the delivery of and Exercise Notice prior to the Closing, CONX shall be required to assign, and EchoStar shall be required to accept, all such rights and obligations, and no assignment of rights and obligations under the Loan Agreement shall be valid unless accompanied by a substantially concurrent assignment of rights and obligations under the Merger Agreement.</w:t>
      </w:r>
    </w:p>
    <w:p>
      <w:pPr>
        <w:spacing w:after="0" w:line="174" w:lineRule="exact"/>
        <w:rPr>
          <w:sz w:val="20"/>
          <w:szCs w:val="20"/>
          <w:color w:val="auto"/>
        </w:rPr>
      </w:pPr>
    </w:p>
    <w:p>
      <w:pPr>
        <w:jc w:val="both"/>
        <w:ind w:left="260" w:hanging="260"/>
        <w:spacing w:after="0" w:line="248" w:lineRule="auto"/>
        <w:tabs>
          <w:tab w:leader="none" w:pos="26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the delivery of an Exercise Notice following the occurrence of the Closing, the parties hereto shall cooperate in good faith to negotiate and enter into, as promptly as reasonably practicable, definitive documentation required to document (a) the sale by CONX or its applicable subsidiaries some or all of the equity interests in the Company then held by CONX or its subsidiaries (the “</w:t>
      </w:r>
      <w:r>
        <w:rPr>
          <w:rFonts w:ascii="Times New Roman" w:cs="Times New Roman" w:eastAsia="Times New Roman" w:hAnsi="Times New Roman"/>
          <w:sz w:val="16"/>
          <w:szCs w:val="16"/>
          <w:u w:val="single" w:color="auto"/>
          <w:color w:val="auto"/>
        </w:rPr>
        <w:t>CONX Equity Interests</w:t>
      </w:r>
      <w:r>
        <w:rPr>
          <w:rFonts w:ascii="Times New Roman" w:cs="Times New Roman" w:eastAsia="Times New Roman" w:hAnsi="Times New Roman"/>
          <w:sz w:val="16"/>
          <w:szCs w:val="16"/>
          <w:color w:val="auto"/>
        </w:rPr>
        <w:t xml:space="preserve">”) to EchoStar or one of its subsidiaries and (b) if applicable, the sale by Innovate Parent or its applicable subsidiaries a number of equity interests in the Company then held by Innovate Parent or its subsidiaries equal to the Equity Cap </w:t>
      </w:r>
      <w:r>
        <w:rPr>
          <w:rFonts w:ascii="Times New Roman" w:cs="Times New Roman" w:eastAsia="Times New Roman" w:hAnsi="Times New Roman"/>
          <w:sz w:val="16"/>
          <w:szCs w:val="16"/>
          <w:i w:val="1"/>
          <w:iCs w:val="1"/>
          <w:color w:val="auto"/>
        </w:rPr>
        <w:t>minus</w:t>
      </w:r>
      <w:r>
        <w:rPr>
          <w:rFonts w:ascii="Times New Roman" w:cs="Times New Roman" w:eastAsia="Times New Roman" w:hAnsi="Times New Roman"/>
          <w:sz w:val="16"/>
          <w:szCs w:val="16"/>
          <w:color w:val="auto"/>
        </w:rPr>
        <w:t xml:space="preserve"> the CONX Equity Interests, in each case on the terms and subject to the conditions set forth in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(including the potential exercise of the Innovate Option and the 100% Acquisition Election set forth therein).</w:t>
      </w:r>
    </w:p>
    <w:p>
      <w:pPr>
        <w:spacing w:after="0" w:line="162" w:lineRule="exact"/>
        <w:rPr>
          <w:rFonts w:ascii="Times New Roman" w:cs="Times New Roman" w:eastAsia="Times New Roman" w:hAnsi="Times New Roman"/>
          <w:sz w:val="16"/>
          <w:szCs w:val="16"/>
          <w:color w:val="auto"/>
        </w:rPr>
      </w:pPr>
    </w:p>
    <w:p>
      <w:pPr>
        <w:ind w:left="260" w:hanging="260"/>
        <w:spacing w:after="0"/>
        <w:tabs>
          <w:tab w:leader="none" w:pos="26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following sections of the Merger Agreement shall apply to this Letter Agreement, </w:t>
      </w:r>
      <w:r>
        <w:rPr>
          <w:rFonts w:ascii="Times New Roman" w:cs="Times New Roman" w:eastAsia="Times New Roman" w:hAnsi="Times New Roman"/>
          <w:sz w:val="14"/>
          <w:szCs w:val="14"/>
          <w:i w:val="1"/>
          <w:iCs w:val="1"/>
          <w:color w:val="auto"/>
        </w:rPr>
        <w:t>mutatis mutandis</w:t>
      </w:r>
      <w:r>
        <w:rPr>
          <w:rFonts w:ascii="Times New Roman" w:cs="Times New Roman" w:eastAsia="Times New Roman" w:hAnsi="Times New Roman"/>
          <w:sz w:val="14"/>
          <w:szCs w:val="14"/>
          <w:color w:val="auto"/>
        </w:rPr>
        <w:t>, and are incorporated herein by reference with binding effect among</w:t>
      </w:r>
    </w:p>
    <w:p>
      <w:pPr>
        <w:spacing w:after="0" w:line="44" w:lineRule="exact"/>
        <w:rPr>
          <w:sz w:val="20"/>
          <w:szCs w:val="20"/>
          <w:color w:val="auto"/>
        </w:rPr>
      </w:pPr>
    </w:p>
    <w:p>
      <w:pPr>
        <w:ind w:left="260"/>
        <w:spacing w:after="0" w:line="244" w:lineRule="auto"/>
        <w:rPr>
          <w:sz w:val="20"/>
          <w:szCs w:val="20"/>
          <w:color w:val="auto"/>
        </w:rPr>
      </w:pPr>
      <w:r>
        <w:rPr>
          <w:rFonts w:ascii="Times New Roman" w:cs="Times New Roman" w:eastAsia="Times New Roman" w:hAnsi="Times New Roman"/>
          <w:sz w:val="16"/>
          <w:szCs w:val="16"/>
          <w:color w:val="auto"/>
        </w:rPr>
        <w:t xml:space="preserve">the parties in respect of this Letter Agreement as if fully set forth herein: </w:t>
      </w:r>
      <w:r>
        <w:rPr>
          <w:rFonts w:ascii="Times New Roman" w:cs="Times New Roman" w:eastAsia="Times New Roman" w:hAnsi="Times New Roman"/>
          <w:sz w:val="16"/>
          <w:szCs w:val="16"/>
          <w:u w:val="single" w:color="auto"/>
          <w:color w:val="auto"/>
        </w:rPr>
        <w:t>Sections 11.02</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Interpretation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11.03</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Amendment)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11.04</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Extension; Waiver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11.05</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Severability</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11.06</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Counterparts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11.09</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Governing Law</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11.10</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Assignment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11.11</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Enforcement</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11.12</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Jurisdiction; Consent to Service of Process</w:t>
      </w:r>
      <w:r>
        <w:rPr>
          <w:rFonts w:ascii="Times New Roman" w:cs="Times New Roman" w:eastAsia="Times New Roman" w:hAnsi="Times New Roman"/>
          <w:sz w:val="16"/>
          <w:szCs w:val="16"/>
          <w:color w:val="auto"/>
        </w:rPr>
        <w:t>).</w:t>
      </w:r>
    </w:p>
    <w:p>
      <w:pPr>
        <w:spacing w:after="0" w:line="177" w:lineRule="exact"/>
        <w:rPr>
          <w:sz w:val="20"/>
          <w:szCs w:val="20"/>
          <w:color w:val="auto"/>
        </w:rPr>
      </w:pPr>
    </w:p>
    <w:p>
      <w:pPr>
        <w:ind w:left="260" w:hanging="260"/>
        <w:spacing w:after="0" w:line="273" w:lineRule="auto"/>
        <w:tabs>
          <w:tab w:leader="none" w:pos="26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Letter Agreement contains the entire agreement among CONX, Innovate Parent and EchoStar with respect to the subject matter hereof and supersede all prior and contemporaneous representations, warranties, agreements, negotiations and understandings, oral or written, with respect to such matters.</w:t>
      </w:r>
    </w:p>
    <w:p>
      <w:pPr>
        <w:spacing w:after="0" w:line="142"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Signature Page Follows</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1020"/>
          </w:cols>
          <w:pgMar w:left="560" w:top="1224" w:right="319" w:bottom="1440" w:gutter="0" w:footer="0" w:header="0"/>
        </w:sectPr>
      </w:pPr>
    </w:p>
    <w:bookmarkStart w:id="229" w:name="page230"/>
    <w:bookmarkEnd w:id="229"/>
    <w:p>
      <w:pPr>
        <w:ind w:left="3060"/>
        <w:spacing w:after="0"/>
        <w:rPr>
          <w:sz w:val="20"/>
          <w:szCs w:val="20"/>
          <w:color w:val="auto"/>
        </w:rPr>
      </w:pPr>
      <w:r>
        <w:rPr>
          <w:rFonts w:ascii="Times New Roman" w:cs="Times New Roman" w:eastAsia="Times New Roman" w:hAnsi="Times New Roman"/>
          <w:sz w:val="16"/>
          <w:szCs w:val="16"/>
          <w:color w:val="auto"/>
        </w:rPr>
        <w:t>Sincerely,</w:t>
      </w:r>
    </w:p>
    <w:p>
      <w:pPr>
        <w:spacing w:after="0" w:line="207"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6"/>
          <w:szCs w:val="16"/>
          <w:b w:val="1"/>
          <w:bCs w:val="1"/>
          <w:color w:val="auto"/>
        </w:rPr>
        <w:t>CONX CORP.</w:t>
      </w:r>
    </w:p>
    <w:p>
      <w:pPr>
        <w:spacing w:after="0" w:line="200" w:lineRule="exact"/>
        <w:rPr>
          <w:sz w:val="20"/>
          <w:szCs w:val="20"/>
          <w:color w:val="auto"/>
        </w:rPr>
      </w:pPr>
    </w:p>
    <w:p>
      <w:pPr>
        <w:spacing w:after="0" w:line="242" w:lineRule="exact"/>
        <w:rPr>
          <w:sz w:val="20"/>
          <w:szCs w:val="20"/>
          <w:color w:val="auto"/>
        </w:rPr>
      </w:pPr>
    </w:p>
    <w:p>
      <w:pPr>
        <w:ind w:left="3080"/>
        <w:spacing w:after="0"/>
        <w:tabs>
          <w:tab w:leader="none" w:pos="342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4"/>
          <w:szCs w:val="14"/>
          <w:i w:val="1"/>
          <w:iCs w:val="1"/>
          <w:color w:val="auto"/>
        </w:rPr>
        <w:t>/s/ Kyle Jason Kiser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2172335</wp:posOffset>
            </wp:positionH>
            <wp:positionV relativeFrom="paragraph">
              <wp:posOffset>17780</wp:posOffset>
            </wp:positionV>
            <wp:extent cx="2034540" cy="698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034540" cy="6985"/>
                    </a:xfrm>
                    <a:prstGeom prst="rect">
                      <a:avLst/>
                    </a:prstGeom>
                    <a:noFill/>
                  </pic:spPr>
                </pic:pic>
              </a:graphicData>
            </a:graphic>
          </wp:anchor>
        </w:drawing>
      </w:r>
    </w:p>
    <w:p>
      <w:pPr>
        <w:spacing w:after="0" w:line="10"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6"/>
          <w:szCs w:val="16"/>
          <w:color w:val="auto"/>
        </w:rPr>
        <w:t>Name: Kyle Jason Kiser</w:t>
      </w:r>
    </w:p>
    <w:p>
      <w:pPr>
        <w:spacing w:after="0" w:line="19"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6"/>
          <w:szCs w:val="16"/>
          <w:color w:val="auto"/>
        </w:rPr>
        <w:t>Title: Chief Executive Officer</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ACKNOWLEDGED AND AGREED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THE DATE FIRST WRITTEN ABOVE:</w:t>
      </w:r>
    </w:p>
    <w:p>
      <w:pPr>
        <w:spacing w:after="0" w:line="200" w:lineRule="exact"/>
        <w:rPr>
          <w:sz w:val="20"/>
          <w:szCs w:val="20"/>
          <w:color w:val="auto"/>
        </w:rPr>
      </w:pPr>
    </w:p>
    <w:p>
      <w:pPr>
        <w:spacing w:after="0" w:line="3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ECHOSTAR CORPORATION</w:t>
      </w:r>
    </w:p>
    <w:p>
      <w:pPr>
        <w:spacing w:after="0" w:line="200" w:lineRule="exact"/>
        <w:rPr>
          <w:sz w:val="20"/>
          <w:szCs w:val="20"/>
          <w:color w:val="auto"/>
        </w:rPr>
      </w:pPr>
    </w:p>
    <w:p>
      <w:pPr>
        <w:spacing w:after="0" w:line="242" w:lineRule="exact"/>
        <w:rPr>
          <w:sz w:val="20"/>
          <w:szCs w:val="20"/>
          <w:color w:val="auto"/>
        </w:rPr>
      </w:pPr>
    </w:p>
    <w:p>
      <w:pPr>
        <w:ind w:left="20"/>
        <w:spacing w:after="0"/>
        <w:tabs>
          <w:tab w:leader="none" w:pos="42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i w:val="1"/>
          <w:iCs w:val="1"/>
          <w:color w:val="auto"/>
        </w:rPr>
        <w:t>/s/ Dean Manson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272415</wp:posOffset>
            </wp:positionH>
            <wp:positionV relativeFrom="paragraph">
              <wp:posOffset>17780</wp:posOffset>
            </wp:positionV>
            <wp:extent cx="2088515" cy="698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088515" cy="6985"/>
                    </a:xfrm>
                    <a:prstGeom prst="rect">
                      <a:avLst/>
                    </a:prstGeom>
                    <a:noFill/>
                  </pic:spPr>
                </pic:pic>
              </a:graphicData>
            </a:graphic>
          </wp:anchor>
        </w:drawing>
      </w:r>
    </w:p>
    <w:p>
      <w:pPr>
        <w:spacing w:after="0" w:line="1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Name: Dean Manson</w:t>
      </w:r>
    </w:p>
    <w:p>
      <w:pPr>
        <w:spacing w:after="0" w:line="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Title: Director</w:t>
      </w:r>
    </w:p>
    <w:p>
      <w:pPr>
        <w:spacing w:after="0" w:line="200" w:lineRule="exact"/>
        <w:rPr>
          <w:sz w:val="20"/>
          <w:szCs w:val="20"/>
          <w:color w:val="auto"/>
        </w:rPr>
      </w:pP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INNOVATE CORP.</w:t>
      </w:r>
    </w:p>
    <w:p>
      <w:pPr>
        <w:spacing w:after="0" w:line="200" w:lineRule="exact"/>
        <w:rPr>
          <w:sz w:val="20"/>
          <w:szCs w:val="20"/>
          <w:color w:val="auto"/>
        </w:rPr>
      </w:pPr>
    </w:p>
    <w:p>
      <w:pPr>
        <w:spacing w:after="0" w:line="242" w:lineRule="exact"/>
        <w:rPr>
          <w:sz w:val="20"/>
          <w:szCs w:val="20"/>
          <w:color w:val="auto"/>
        </w:rPr>
      </w:pPr>
    </w:p>
    <w:p>
      <w:pPr>
        <w:ind w:left="20"/>
        <w:spacing w:after="0"/>
        <w:tabs>
          <w:tab w:leader="none" w:pos="42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i w:val="1"/>
          <w:iCs w:val="1"/>
          <w:color w:val="auto"/>
        </w:rPr>
        <w:t>/s/ Michael J. Sena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272415</wp:posOffset>
            </wp:positionH>
            <wp:positionV relativeFrom="paragraph">
              <wp:posOffset>17780</wp:posOffset>
            </wp:positionV>
            <wp:extent cx="2088515" cy="698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088515" cy="6985"/>
                    </a:xfrm>
                    <a:prstGeom prst="rect">
                      <a:avLst/>
                    </a:prstGeom>
                    <a:noFill/>
                  </pic:spPr>
                </pic:pic>
              </a:graphicData>
            </a:graphic>
          </wp:anchor>
        </w:drawing>
      </w:r>
    </w:p>
    <w:p>
      <w:pPr>
        <w:spacing w:after="0" w:line="1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Name: Michael J. Sena</w:t>
      </w:r>
    </w:p>
    <w:p>
      <w:pPr>
        <w:spacing w:after="0" w:line="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right"/>
        <w:ind w:right="345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 to Letter Agreement</w:t>
      </w:r>
      <w:r>
        <w:rPr>
          <w:rFonts w:ascii="Times New Roman" w:cs="Times New Roman" w:eastAsia="Times New Roman" w:hAnsi="Times New Roman"/>
          <w:sz w:val="14"/>
          <w:szCs w:val="14"/>
          <w:color w:val="auto"/>
        </w:rPr>
        <w:t>]</w:t>
      </w:r>
    </w:p>
    <w:p>
      <w:pPr>
        <w:sectPr>
          <w:pgSz w:w="11900" w:h="16838" w:orient="portrait"/>
          <w:cols w:equalWidth="0" w:num="1">
            <w:col w:w="10159"/>
          </w:cols>
          <w:pgMar w:left="300" w:top="1139" w:right="1440" w:bottom="1440" w:gutter="0" w:footer="0" w:header="0"/>
        </w:sectPr>
      </w:pPr>
    </w:p>
    <w:bookmarkStart w:id="230" w:name="page231"/>
    <w:bookmarkEnd w:id="230"/>
    <w:tbl>
      <w:tblPr>
        <w:tblLayout w:type="fixed"/>
        <w:tblInd w:w="0" w:type="dxa"/>
        <w:tblCellMar>
          <w:top w:w="0" w:type="dxa"/>
          <w:left w:w="0" w:type="dxa"/>
          <w:bottom w:w="0" w:type="dxa"/>
          <w:right w:w="0" w:type="dxa"/>
        </w:tblCellMar>
      </w:tblPr>
      <w:tr>
        <w:trPr>
          <w:trHeight w:val="205"/>
        </w:trPr>
        <w:tc>
          <w:tcPr>
            <w:tcW w:w="9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20" w:type="dxa"/>
            <w:vAlign w:val="bottom"/>
          </w:tcPr>
          <w:p>
            <w:pPr>
              <w:jc w:val="right"/>
              <w:ind w:right="5262"/>
              <w:spacing w:after="0"/>
              <w:rPr>
                <w:sz w:val="20"/>
                <w:szCs w:val="20"/>
                <w:color w:val="auto"/>
              </w:rPr>
            </w:pPr>
            <w:r>
              <w:rPr>
                <w:rFonts w:ascii="Times New Roman" w:cs="Times New Roman" w:eastAsia="Times New Roman" w:hAnsi="Times New Roman"/>
                <w:sz w:val="16"/>
                <w:szCs w:val="16"/>
                <w:b w:val="1"/>
                <w:bCs w:val="1"/>
                <w:color w:val="auto"/>
              </w:rPr>
              <w:t>Exhibit A</w:t>
            </w:r>
          </w:p>
        </w:tc>
        <w:tc>
          <w:tcPr>
            <w:tcW w:w="0" w:type="dxa"/>
            <w:vAlign w:val="bottom"/>
          </w:tcPr>
          <w:p>
            <w:pPr>
              <w:spacing w:after="0"/>
              <w:rPr>
                <w:sz w:val="1"/>
                <w:szCs w:val="1"/>
                <w:color w:val="auto"/>
              </w:rPr>
            </w:pPr>
          </w:p>
        </w:tc>
      </w:tr>
      <w:tr>
        <w:trPr>
          <w:trHeight w:val="28"/>
        </w:trPr>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9"/>
        </w:trPr>
        <w:tc>
          <w:tcPr>
            <w:tcW w:w="980" w:type="dxa"/>
            <w:vAlign w:val="bottom"/>
          </w:tcPr>
          <w:p>
            <w:pPr>
              <w:ind w:left="60"/>
              <w:spacing w:after="0" w:line="139" w:lineRule="exact"/>
              <w:rPr>
                <w:sz w:val="20"/>
                <w:szCs w:val="20"/>
                <w:color w:val="auto"/>
              </w:rPr>
            </w:pPr>
            <w:r>
              <w:rPr>
                <w:rFonts w:ascii="Times New Roman" w:cs="Times New Roman" w:eastAsia="Times New Roman" w:hAnsi="Times New Roman"/>
                <w:sz w:val="14"/>
                <w:szCs w:val="14"/>
                <w:b w:val="1"/>
                <w:bCs w:val="1"/>
                <w:color w:val="auto"/>
              </w:rPr>
              <w:t>Exercise and</w:t>
            </w:r>
          </w:p>
        </w:tc>
        <w:tc>
          <w:tcPr>
            <w:tcW w:w="10320" w:type="dxa"/>
            <w:vAlign w:val="bottom"/>
            <w:gridSpan w:val="7"/>
          </w:tcPr>
          <w:p>
            <w:pPr>
              <w:jc w:val="right"/>
              <w:ind w:right="2"/>
              <w:spacing w:after="0" w:line="139" w:lineRule="exact"/>
              <w:rPr>
                <w:sz w:val="20"/>
                <w:szCs w:val="20"/>
                <w:color w:val="auto"/>
              </w:rPr>
            </w:pPr>
            <w:r>
              <w:rPr>
                <w:rFonts w:ascii="Times New Roman" w:cs="Times New Roman" w:eastAsia="Times New Roman" w:hAnsi="Times New Roman"/>
                <w:sz w:val="14"/>
                <w:szCs w:val="14"/>
                <w:color w:val="auto"/>
              </w:rPr>
              <w:t>•   Pre-Merger Closing Exercise of the Option: If the Option is exercised prior to the closing of the Merger (the “</w:t>
            </w:r>
            <w:r>
              <w:rPr>
                <w:rFonts w:ascii="Times New Roman" w:cs="Times New Roman" w:eastAsia="Times New Roman" w:hAnsi="Times New Roman"/>
                <w:sz w:val="14"/>
                <w:szCs w:val="14"/>
                <w:b w:val="1"/>
                <w:bCs w:val="1"/>
                <w:color w:val="auto"/>
              </w:rPr>
              <w:t>Merger Closing</w:t>
            </w:r>
            <w:r>
              <w:rPr>
                <w:rFonts w:ascii="Times New Roman" w:cs="Times New Roman" w:eastAsia="Times New Roman" w:hAnsi="Times New Roman"/>
                <w:sz w:val="14"/>
                <w:szCs w:val="14"/>
                <w:color w:val="auto"/>
              </w:rPr>
              <w:t>”), (i) CONX will assign all of its rights and</w:t>
            </w:r>
          </w:p>
        </w:tc>
        <w:tc>
          <w:tcPr>
            <w:tcW w:w="0" w:type="dxa"/>
            <w:vAlign w:val="bottom"/>
          </w:tcPr>
          <w:p>
            <w:pPr>
              <w:spacing w:after="0"/>
              <w:rPr>
                <w:sz w:val="1"/>
                <w:szCs w:val="1"/>
                <w:color w:val="auto"/>
              </w:rPr>
            </w:pPr>
          </w:p>
        </w:tc>
      </w:tr>
      <w:tr>
        <w:trPr>
          <w:trHeight w:val="21"/>
        </w:trPr>
        <w:tc>
          <w:tcPr>
            <w:tcW w:w="98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Closing</w:t>
            </w:r>
          </w:p>
        </w:tc>
        <w:tc>
          <w:tcPr>
            <w:tcW w:w="3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8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9940" w:type="dxa"/>
            <w:vAlign w:val="bottom"/>
            <w:gridSpan w:val="6"/>
          </w:tcPr>
          <w:p>
            <w:pPr>
              <w:jc w:val="right"/>
              <w:ind w:right="2"/>
              <w:spacing w:after="0"/>
              <w:rPr>
                <w:sz w:val="20"/>
                <w:szCs w:val="20"/>
                <w:color w:val="auto"/>
              </w:rPr>
            </w:pPr>
            <w:r>
              <w:rPr>
                <w:rFonts w:ascii="Times New Roman" w:cs="Times New Roman" w:eastAsia="Times New Roman" w:hAnsi="Times New Roman"/>
                <w:sz w:val="14"/>
                <w:szCs w:val="14"/>
                <w:color w:val="auto"/>
              </w:rPr>
              <w:t>obligations under the Merger Agreement and any ancillary agreements, including the right to receive the merger consideration, to EchoStar or one of its subsidiaries and</w:t>
            </w:r>
          </w:p>
        </w:tc>
        <w:tc>
          <w:tcPr>
            <w:tcW w:w="0" w:type="dxa"/>
            <w:vAlign w:val="bottom"/>
          </w:tcPr>
          <w:p>
            <w:pPr>
              <w:spacing w:after="0"/>
              <w:rPr>
                <w:sz w:val="1"/>
                <w:szCs w:val="1"/>
                <w:color w:val="auto"/>
              </w:rPr>
            </w:pPr>
          </w:p>
        </w:tc>
      </w:tr>
      <w:tr>
        <w:trPr>
          <w:trHeight w:val="170"/>
        </w:trPr>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940" w:type="dxa"/>
            <w:vAlign w:val="bottom"/>
            <w:gridSpan w:val="6"/>
          </w:tcPr>
          <w:p>
            <w:pPr>
              <w:jc w:val="right"/>
              <w:ind w:right="2"/>
              <w:spacing w:after="0"/>
              <w:rPr>
                <w:sz w:val="20"/>
                <w:szCs w:val="20"/>
                <w:color w:val="auto"/>
              </w:rPr>
            </w:pPr>
            <w:r>
              <w:rPr>
                <w:rFonts w:ascii="Times New Roman" w:cs="Times New Roman" w:eastAsia="Times New Roman" w:hAnsi="Times New Roman"/>
                <w:sz w:val="14"/>
                <w:szCs w:val="14"/>
                <w:color w:val="auto"/>
              </w:rPr>
              <w:t>(ii) the parties will amend the Merger Agreement, or cause the Merger Agreement to be amended, to reflect that EchoStar or its subsidiaries will receive an amount of HC2</w:t>
            </w:r>
          </w:p>
        </w:tc>
        <w:tc>
          <w:tcPr>
            <w:tcW w:w="0" w:type="dxa"/>
            <w:vAlign w:val="bottom"/>
          </w:tcPr>
          <w:p>
            <w:pPr>
              <w:spacing w:after="0"/>
              <w:rPr>
                <w:sz w:val="1"/>
                <w:szCs w:val="1"/>
                <w:color w:val="auto"/>
              </w:rPr>
            </w:pPr>
          </w:p>
        </w:tc>
      </w:tr>
      <w:tr>
        <w:trPr>
          <w:trHeight w:val="168"/>
        </w:trPr>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940" w:type="dxa"/>
            <w:vAlign w:val="bottom"/>
            <w:gridSpan w:val="6"/>
          </w:tcPr>
          <w:p>
            <w:pPr>
              <w:jc w:val="right"/>
              <w:ind w:right="2"/>
              <w:spacing w:after="0"/>
              <w:rPr>
                <w:sz w:val="20"/>
                <w:szCs w:val="20"/>
                <w:color w:val="auto"/>
              </w:rPr>
            </w:pPr>
            <w:r>
              <w:rPr>
                <w:rFonts w:ascii="Times New Roman" w:cs="Times New Roman" w:eastAsia="Times New Roman" w:hAnsi="Times New Roman"/>
                <w:sz w:val="14"/>
                <w:szCs w:val="14"/>
                <w:color w:val="auto"/>
              </w:rPr>
              <w:t>Equity Interests equal to or exceeding the Equity Cap at the Merger Closing. In the event an Exercise Notice is given, during the period beginning five Business Days prior to</w:t>
            </w:r>
          </w:p>
        </w:tc>
        <w:tc>
          <w:tcPr>
            <w:tcW w:w="0" w:type="dxa"/>
            <w:vAlign w:val="bottom"/>
          </w:tcPr>
          <w:p>
            <w:pPr>
              <w:spacing w:after="0"/>
              <w:rPr>
                <w:sz w:val="1"/>
                <w:szCs w:val="1"/>
                <w:color w:val="auto"/>
              </w:rPr>
            </w:pPr>
          </w:p>
        </w:tc>
      </w:tr>
      <w:tr>
        <w:trPr>
          <w:trHeight w:val="170"/>
        </w:trPr>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940" w:type="dxa"/>
            <w:vAlign w:val="bottom"/>
            <w:gridSpan w:val="6"/>
          </w:tcPr>
          <w:p>
            <w:pPr>
              <w:jc w:val="right"/>
              <w:ind w:right="2"/>
              <w:spacing w:after="0"/>
              <w:rPr>
                <w:sz w:val="20"/>
                <w:szCs w:val="20"/>
                <w:color w:val="auto"/>
              </w:rPr>
            </w:pPr>
            <w:r>
              <w:rPr>
                <w:rFonts w:ascii="Times New Roman" w:cs="Times New Roman" w:eastAsia="Times New Roman" w:hAnsi="Times New Roman"/>
                <w:sz w:val="14"/>
                <w:szCs w:val="14"/>
                <w:color w:val="auto"/>
              </w:rPr>
              <w:t>the Merger Closing and ending on the date that is two Business Days prior to the Merger Closing (the “</w:t>
            </w:r>
            <w:r>
              <w:rPr>
                <w:rFonts w:ascii="Times New Roman" w:cs="Times New Roman" w:eastAsia="Times New Roman" w:hAnsi="Times New Roman"/>
                <w:sz w:val="14"/>
                <w:szCs w:val="14"/>
                <w:b w:val="1"/>
                <w:bCs w:val="1"/>
                <w:color w:val="auto"/>
              </w:rPr>
              <w:t>Pre-Closing Innovate Exercise Period</w:t>
            </w:r>
            <w:r>
              <w:rPr>
                <w:rFonts w:ascii="Times New Roman" w:cs="Times New Roman" w:eastAsia="Times New Roman" w:hAnsi="Times New Roman"/>
                <w:sz w:val="14"/>
                <w:szCs w:val="14"/>
                <w:color w:val="auto"/>
              </w:rPr>
              <w:t>”), Innovate shall be permitted</w:t>
            </w:r>
          </w:p>
        </w:tc>
        <w:tc>
          <w:tcPr>
            <w:tcW w:w="0" w:type="dxa"/>
            <w:vAlign w:val="bottom"/>
          </w:tcPr>
          <w:p>
            <w:pPr>
              <w:spacing w:after="0"/>
              <w:rPr>
                <w:sz w:val="1"/>
                <w:szCs w:val="1"/>
                <w:color w:val="auto"/>
              </w:rPr>
            </w:pPr>
          </w:p>
        </w:tc>
      </w:tr>
      <w:tr>
        <w:trPr>
          <w:trHeight w:val="172"/>
        </w:trPr>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940" w:type="dxa"/>
            <w:vAlign w:val="bottom"/>
            <w:gridSpan w:val="6"/>
          </w:tcPr>
          <w:p>
            <w:pPr>
              <w:jc w:val="right"/>
              <w:ind w:right="2"/>
              <w:spacing w:after="0"/>
              <w:rPr>
                <w:sz w:val="20"/>
                <w:szCs w:val="20"/>
                <w:color w:val="auto"/>
              </w:rPr>
            </w:pPr>
            <w:r>
              <w:rPr>
                <w:rFonts w:ascii="Times New Roman" w:cs="Times New Roman" w:eastAsia="Times New Roman" w:hAnsi="Times New Roman"/>
                <w:sz w:val="14"/>
                <w:szCs w:val="14"/>
                <w:color w:val="auto"/>
              </w:rPr>
              <w:t>to exercise its option to purchase up to 15% of the equity interests of HC2 (the “</w:t>
            </w:r>
            <w:r>
              <w:rPr>
                <w:rFonts w:ascii="Times New Roman" w:cs="Times New Roman" w:eastAsia="Times New Roman" w:hAnsi="Times New Roman"/>
                <w:sz w:val="14"/>
                <w:szCs w:val="14"/>
                <w:b w:val="1"/>
                <w:bCs w:val="1"/>
                <w:color w:val="auto"/>
              </w:rPr>
              <w:t>Innovate Option</w:t>
            </w:r>
            <w:r>
              <w:rPr>
                <w:rFonts w:ascii="Times New Roman" w:cs="Times New Roman" w:eastAsia="Times New Roman" w:hAnsi="Times New Roman"/>
                <w:sz w:val="14"/>
                <w:szCs w:val="14"/>
                <w:color w:val="auto"/>
              </w:rPr>
              <w:t>”), to take effect substantially concurrently with the Merger Closing (and</w:t>
            </w:r>
          </w:p>
        </w:tc>
        <w:tc>
          <w:tcPr>
            <w:tcW w:w="0" w:type="dxa"/>
            <w:vAlign w:val="bottom"/>
          </w:tcPr>
          <w:p>
            <w:pPr>
              <w:spacing w:after="0"/>
              <w:rPr>
                <w:sz w:val="1"/>
                <w:szCs w:val="1"/>
                <w:color w:val="auto"/>
              </w:rPr>
            </w:pPr>
          </w:p>
        </w:tc>
      </w:tr>
      <w:tr>
        <w:trPr>
          <w:trHeight w:val="170"/>
        </w:trPr>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940" w:type="dxa"/>
            <w:vAlign w:val="bottom"/>
            <w:gridSpan w:val="6"/>
          </w:tcPr>
          <w:p>
            <w:pPr>
              <w:jc w:val="right"/>
              <w:ind w:right="2"/>
              <w:spacing w:after="0"/>
              <w:rPr>
                <w:sz w:val="20"/>
                <w:szCs w:val="20"/>
                <w:color w:val="auto"/>
              </w:rPr>
            </w:pPr>
            <w:r>
              <w:rPr>
                <w:rFonts w:ascii="Times New Roman" w:cs="Times New Roman" w:eastAsia="Times New Roman" w:hAnsi="Times New Roman"/>
                <w:sz w:val="14"/>
                <w:szCs w:val="14"/>
                <w:color w:val="auto"/>
              </w:rPr>
              <w:t>the Merger Consideration shall be adjusted to reflect such additional ownership of HC2 Equity Interests by Innovate). If Innovate does not elect to exercise the Innovate</w:t>
            </w:r>
          </w:p>
        </w:tc>
        <w:tc>
          <w:tcPr>
            <w:tcW w:w="0" w:type="dxa"/>
            <w:vAlign w:val="bottom"/>
          </w:tcPr>
          <w:p>
            <w:pPr>
              <w:spacing w:after="0"/>
              <w:rPr>
                <w:sz w:val="1"/>
                <w:szCs w:val="1"/>
                <w:color w:val="auto"/>
              </w:rPr>
            </w:pPr>
          </w:p>
        </w:tc>
      </w:tr>
      <w:tr>
        <w:trPr>
          <w:trHeight w:val="184"/>
        </w:trPr>
        <w:tc>
          <w:tcPr>
            <w:tcW w:w="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94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Option within the Pre-Closing Innovate Exercise Period, the Innovate Option will automatically terminate upon the Merger Closing.</w:t>
            </w:r>
          </w:p>
        </w:tc>
        <w:tc>
          <w:tcPr>
            <w:tcW w:w="0" w:type="dxa"/>
            <w:vAlign w:val="bottom"/>
          </w:tcPr>
          <w:p>
            <w:pPr>
              <w:spacing w:after="0"/>
              <w:rPr>
                <w:sz w:val="1"/>
                <w:szCs w:val="1"/>
                <w:color w:val="auto"/>
              </w:rPr>
            </w:pPr>
          </w:p>
        </w:tc>
      </w:tr>
      <w:tr>
        <w:trPr>
          <w:trHeight w:val="160"/>
        </w:trPr>
        <w:tc>
          <w:tcPr>
            <w:tcW w:w="980" w:type="dxa"/>
            <w:vAlign w:val="bottom"/>
          </w:tcPr>
          <w:p>
            <w:pPr>
              <w:spacing w:after="0"/>
              <w:rPr>
                <w:sz w:val="13"/>
                <w:szCs w:val="13"/>
                <w:color w:val="auto"/>
              </w:rPr>
            </w:pPr>
          </w:p>
        </w:tc>
        <w:tc>
          <w:tcPr>
            <w:tcW w:w="10320" w:type="dxa"/>
            <w:vAlign w:val="bottom"/>
            <w:gridSpan w:val="7"/>
          </w:tcPr>
          <w:p>
            <w:pPr>
              <w:jc w:val="right"/>
              <w:ind w:right="2"/>
              <w:spacing w:after="0" w:line="159" w:lineRule="exact"/>
              <w:rPr>
                <w:sz w:val="20"/>
                <w:szCs w:val="20"/>
                <w:color w:val="auto"/>
              </w:rPr>
            </w:pPr>
            <w:r>
              <w:rPr>
                <w:rFonts w:ascii="Times New Roman" w:cs="Times New Roman" w:eastAsia="Times New Roman" w:hAnsi="Times New Roman"/>
                <w:sz w:val="14"/>
                <w:szCs w:val="14"/>
                <w:color w:val="auto"/>
              </w:rPr>
              <w:t>•   Post-Merger Closing Exercise of the Option: If the Option is exercised following the Merger Closing, EchoStar will purchase (i) all of the HC2 Equity Interests then-owned</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940" w:type="dxa"/>
            <w:vAlign w:val="bottom"/>
            <w:gridSpan w:val="6"/>
          </w:tcPr>
          <w:p>
            <w:pPr>
              <w:jc w:val="right"/>
              <w:ind w:right="2"/>
              <w:spacing w:after="0"/>
              <w:rPr>
                <w:sz w:val="20"/>
                <w:szCs w:val="20"/>
                <w:color w:val="auto"/>
              </w:rPr>
            </w:pPr>
            <w:r>
              <w:rPr>
                <w:rFonts w:ascii="Times New Roman" w:cs="Times New Roman" w:eastAsia="Times New Roman" w:hAnsi="Times New Roman"/>
                <w:sz w:val="14"/>
                <w:szCs w:val="14"/>
                <w:color w:val="auto"/>
              </w:rPr>
              <w:t>by CONX or its applicable subsidiaries (the “</w:t>
            </w:r>
            <w:r>
              <w:rPr>
                <w:rFonts w:ascii="Times New Roman" w:cs="Times New Roman" w:eastAsia="Times New Roman" w:hAnsi="Times New Roman"/>
                <w:sz w:val="14"/>
                <w:szCs w:val="14"/>
                <w:b w:val="1"/>
                <w:bCs w:val="1"/>
                <w:color w:val="auto"/>
              </w:rPr>
              <w:t>CONX HC2 Interests</w:t>
            </w:r>
            <w:r>
              <w:rPr>
                <w:rFonts w:ascii="Times New Roman" w:cs="Times New Roman" w:eastAsia="Times New Roman" w:hAnsi="Times New Roman"/>
                <w:sz w:val="14"/>
                <w:szCs w:val="14"/>
                <w:color w:val="auto"/>
              </w:rPr>
              <w:t>”) and (ii) an amount of HC2 Equity Interests from Innovate (or its applicable subsidiary) equal to the</w:t>
            </w:r>
          </w:p>
        </w:tc>
        <w:tc>
          <w:tcPr>
            <w:tcW w:w="0" w:type="dxa"/>
            <w:vAlign w:val="bottom"/>
          </w:tcPr>
          <w:p>
            <w:pPr>
              <w:spacing w:after="0"/>
              <w:rPr>
                <w:sz w:val="1"/>
                <w:szCs w:val="1"/>
                <w:color w:val="auto"/>
              </w:rPr>
            </w:pPr>
          </w:p>
        </w:tc>
      </w:tr>
      <w:tr>
        <w:trPr>
          <w:trHeight w:val="170"/>
        </w:trPr>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940" w:type="dxa"/>
            <w:vAlign w:val="bottom"/>
            <w:gridSpan w:val="6"/>
          </w:tcPr>
          <w:p>
            <w:pPr>
              <w:jc w:val="right"/>
              <w:ind w:right="2"/>
              <w:spacing w:after="0"/>
              <w:rPr>
                <w:sz w:val="20"/>
                <w:szCs w:val="20"/>
                <w:color w:val="auto"/>
              </w:rPr>
            </w:pPr>
            <w:r>
              <w:rPr>
                <w:rFonts w:ascii="Times New Roman" w:cs="Times New Roman" w:eastAsia="Times New Roman" w:hAnsi="Times New Roman"/>
                <w:sz w:val="14"/>
                <w:szCs w:val="14"/>
                <w:color w:val="auto"/>
              </w:rPr>
              <w:t xml:space="preserve">Equity Cap </w:t>
            </w:r>
            <w:r>
              <w:rPr>
                <w:rFonts w:ascii="Times New Roman" w:cs="Times New Roman" w:eastAsia="Times New Roman" w:hAnsi="Times New Roman"/>
                <w:sz w:val="14"/>
                <w:szCs w:val="14"/>
                <w:i w:val="1"/>
                <w:iCs w:val="1"/>
                <w:color w:val="auto"/>
              </w:rPr>
              <w:t>minus</w:t>
            </w:r>
            <w:r>
              <w:rPr>
                <w:rFonts w:ascii="Times New Roman" w:cs="Times New Roman" w:eastAsia="Times New Roman" w:hAnsi="Times New Roman"/>
                <w:sz w:val="14"/>
                <w:szCs w:val="14"/>
                <w:color w:val="auto"/>
              </w:rPr>
              <w:t xml:space="preserve"> the CONX HC2 Interests. For a period beginning on the date of the delivery of an Exercise Notice and ending on the date that is seven days following the</w:t>
            </w:r>
          </w:p>
        </w:tc>
        <w:tc>
          <w:tcPr>
            <w:tcW w:w="0" w:type="dxa"/>
            <w:vAlign w:val="bottom"/>
          </w:tcPr>
          <w:p>
            <w:pPr>
              <w:spacing w:after="0"/>
              <w:rPr>
                <w:sz w:val="1"/>
                <w:szCs w:val="1"/>
                <w:color w:val="auto"/>
              </w:rPr>
            </w:pPr>
          </w:p>
        </w:tc>
      </w:tr>
      <w:tr>
        <w:trPr>
          <w:trHeight w:val="172"/>
        </w:trPr>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940" w:type="dxa"/>
            <w:vAlign w:val="bottom"/>
            <w:gridSpan w:val="6"/>
          </w:tcPr>
          <w:p>
            <w:pPr>
              <w:jc w:val="right"/>
              <w:ind w:right="2"/>
              <w:spacing w:after="0"/>
              <w:rPr>
                <w:sz w:val="20"/>
                <w:szCs w:val="20"/>
                <w:color w:val="auto"/>
              </w:rPr>
            </w:pPr>
            <w:r>
              <w:rPr>
                <w:rFonts w:ascii="Times New Roman" w:cs="Times New Roman" w:eastAsia="Times New Roman" w:hAnsi="Times New Roman"/>
                <w:sz w:val="14"/>
                <w:szCs w:val="14"/>
                <w:color w:val="auto"/>
              </w:rPr>
              <w:t>exercise of the Option (the “</w:t>
            </w:r>
            <w:r>
              <w:rPr>
                <w:rFonts w:ascii="Times New Roman" w:cs="Times New Roman" w:eastAsia="Times New Roman" w:hAnsi="Times New Roman"/>
                <w:sz w:val="14"/>
                <w:szCs w:val="14"/>
                <w:b w:val="1"/>
                <w:bCs w:val="1"/>
                <w:color w:val="auto"/>
              </w:rPr>
              <w:t>Post-Closing Innovate Exercise Period</w:t>
            </w:r>
            <w:r>
              <w:rPr>
                <w:rFonts w:ascii="Times New Roman" w:cs="Times New Roman" w:eastAsia="Times New Roman" w:hAnsi="Times New Roman"/>
                <w:sz w:val="14"/>
                <w:szCs w:val="14"/>
                <w:color w:val="auto"/>
              </w:rPr>
              <w:t>”), Innovate shall be permitted to exercise the Innovate Option. If Innovate does not elect to exercise the</w:t>
            </w:r>
          </w:p>
        </w:tc>
        <w:tc>
          <w:tcPr>
            <w:tcW w:w="0" w:type="dxa"/>
            <w:vAlign w:val="bottom"/>
          </w:tcPr>
          <w:p>
            <w:pPr>
              <w:spacing w:after="0"/>
              <w:rPr>
                <w:sz w:val="1"/>
                <w:szCs w:val="1"/>
                <w:color w:val="auto"/>
              </w:rPr>
            </w:pPr>
          </w:p>
        </w:tc>
      </w:tr>
      <w:tr>
        <w:trPr>
          <w:trHeight w:val="170"/>
        </w:trPr>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940" w:type="dxa"/>
            <w:vAlign w:val="bottom"/>
            <w:gridSpan w:val="6"/>
          </w:tcPr>
          <w:p>
            <w:pPr>
              <w:jc w:val="right"/>
              <w:spacing w:after="0"/>
              <w:rPr>
                <w:sz w:val="20"/>
                <w:szCs w:val="20"/>
                <w:color w:val="auto"/>
              </w:rPr>
            </w:pPr>
            <w:r>
              <w:rPr>
                <w:rFonts w:ascii="Times New Roman" w:cs="Times New Roman" w:eastAsia="Times New Roman" w:hAnsi="Times New Roman"/>
                <w:sz w:val="14"/>
                <w:szCs w:val="14"/>
                <w:color w:val="auto"/>
              </w:rPr>
              <w:t>Innovate Option during the Post-Closing Innovate Exercise Period, the Innovate Option will automatically terminate as of the end of the Post-Closing Innovate Exercise</w:t>
            </w:r>
          </w:p>
        </w:tc>
        <w:tc>
          <w:tcPr>
            <w:tcW w:w="0" w:type="dxa"/>
            <w:vAlign w:val="bottom"/>
          </w:tcPr>
          <w:p>
            <w:pPr>
              <w:spacing w:after="0"/>
              <w:rPr>
                <w:sz w:val="1"/>
                <w:szCs w:val="1"/>
                <w:color w:val="auto"/>
              </w:rPr>
            </w:pPr>
          </w:p>
        </w:tc>
      </w:tr>
      <w:tr>
        <w:trPr>
          <w:trHeight w:val="184"/>
        </w:trPr>
        <w:tc>
          <w:tcPr>
            <w:tcW w:w="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94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Period.</w:t>
            </w:r>
          </w:p>
        </w:tc>
        <w:tc>
          <w:tcPr>
            <w:tcW w:w="0" w:type="dxa"/>
            <w:vAlign w:val="bottom"/>
          </w:tcPr>
          <w:p>
            <w:pPr>
              <w:spacing w:after="0"/>
              <w:rPr>
                <w:sz w:val="1"/>
                <w:szCs w:val="1"/>
                <w:color w:val="auto"/>
              </w:rPr>
            </w:pPr>
          </w:p>
        </w:tc>
      </w:tr>
      <w:tr>
        <w:trPr>
          <w:trHeight w:val="170"/>
        </w:trPr>
        <w:tc>
          <w:tcPr>
            <w:tcW w:w="980" w:type="dxa"/>
            <w:vAlign w:val="bottom"/>
          </w:tcPr>
          <w:p>
            <w:pPr>
              <w:spacing w:after="0"/>
              <w:rPr>
                <w:sz w:val="14"/>
                <w:szCs w:val="14"/>
                <w:color w:val="auto"/>
              </w:rPr>
            </w:pPr>
          </w:p>
        </w:tc>
        <w:tc>
          <w:tcPr>
            <w:tcW w:w="10320" w:type="dxa"/>
            <w:vAlign w:val="bottom"/>
            <w:gridSpan w:val="7"/>
          </w:tcPr>
          <w:p>
            <w:pPr>
              <w:jc w:val="right"/>
              <w:ind w:right="2"/>
              <w:spacing w:after="0"/>
              <w:rPr>
                <w:sz w:val="20"/>
                <w:szCs w:val="20"/>
                <w:color w:val="auto"/>
              </w:rPr>
            </w:pPr>
            <w:r>
              <w:rPr>
                <w:rFonts w:ascii="Times New Roman" w:cs="Times New Roman" w:eastAsia="Times New Roman" w:hAnsi="Times New Roman"/>
                <w:sz w:val="14"/>
                <w:szCs w:val="14"/>
                <w:color w:val="auto"/>
              </w:rPr>
              <w:t>•   Option Exercises: To exercise the Option, EchoStar will deliver a notice of exercise (an “</w:t>
            </w:r>
            <w:r>
              <w:rPr>
                <w:rFonts w:ascii="Times New Roman" w:cs="Times New Roman" w:eastAsia="Times New Roman" w:hAnsi="Times New Roman"/>
                <w:sz w:val="14"/>
                <w:szCs w:val="14"/>
                <w:b w:val="1"/>
                <w:bCs w:val="1"/>
                <w:color w:val="auto"/>
              </w:rPr>
              <w:t>Exercise Notice</w:t>
            </w:r>
            <w:r>
              <w:rPr>
                <w:rFonts w:ascii="Times New Roman" w:cs="Times New Roman" w:eastAsia="Times New Roman" w:hAnsi="Times New Roman"/>
                <w:sz w:val="14"/>
                <w:szCs w:val="14"/>
                <w:color w:val="auto"/>
              </w:rPr>
              <w:t>”) to each of CONX, Innovate and HC2. For the avoidance of doubt,</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3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940" w:type="dxa"/>
            <w:vAlign w:val="bottom"/>
            <w:gridSpan w:val="6"/>
          </w:tcPr>
          <w:p>
            <w:pPr>
              <w:jc w:val="right"/>
              <w:ind w:right="2"/>
              <w:spacing w:after="0"/>
              <w:rPr>
                <w:sz w:val="20"/>
                <w:szCs w:val="20"/>
                <w:color w:val="auto"/>
              </w:rPr>
            </w:pPr>
            <w:r>
              <w:rPr>
                <w:rFonts w:ascii="Times New Roman" w:cs="Times New Roman" w:eastAsia="Times New Roman" w:hAnsi="Times New Roman"/>
                <w:sz w:val="14"/>
                <w:szCs w:val="14"/>
                <w:color w:val="auto"/>
              </w:rPr>
              <w:t>EchoStar may not deliver more than one Exercise Notice. The Exercise Notice may not be delivered during the 15 Business Day (as defined in the Merger Agreement) period</w:t>
            </w:r>
          </w:p>
        </w:tc>
        <w:tc>
          <w:tcPr>
            <w:tcW w:w="0" w:type="dxa"/>
            <w:vAlign w:val="bottom"/>
          </w:tcPr>
          <w:p>
            <w:pPr>
              <w:spacing w:after="0"/>
              <w:rPr>
                <w:sz w:val="1"/>
                <w:szCs w:val="1"/>
                <w:color w:val="auto"/>
              </w:rPr>
            </w:pPr>
          </w:p>
        </w:tc>
      </w:tr>
      <w:tr>
        <w:trPr>
          <w:trHeight w:val="170"/>
        </w:trPr>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940" w:type="dxa"/>
            <w:vAlign w:val="bottom"/>
            <w:gridSpan w:val="6"/>
          </w:tcPr>
          <w:p>
            <w:pPr>
              <w:jc w:val="right"/>
              <w:ind w:right="2"/>
              <w:spacing w:after="0"/>
              <w:rPr>
                <w:sz w:val="20"/>
                <w:szCs w:val="20"/>
                <w:color w:val="auto"/>
              </w:rPr>
            </w:pPr>
            <w:r>
              <w:rPr>
                <w:rFonts w:ascii="Times New Roman" w:cs="Times New Roman" w:eastAsia="Times New Roman" w:hAnsi="Times New Roman"/>
                <w:sz w:val="14"/>
                <w:szCs w:val="14"/>
                <w:color w:val="auto"/>
              </w:rPr>
              <w:t>prior to the anticipated date of the Merger Closing. In no event shall the closing of the transactions contemplated by the Merger Agreement be conditioned on or delayed by</w:t>
            </w:r>
          </w:p>
        </w:tc>
        <w:tc>
          <w:tcPr>
            <w:tcW w:w="0" w:type="dxa"/>
            <w:vAlign w:val="bottom"/>
          </w:tcPr>
          <w:p>
            <w:pPr>
              <w:spacing w:after="0"/>
              <w:rPr>
                <w:sz w:val="1"/>
                <w:szCs w:val="1"/>
                <w:color w:val="auto"/>
              </w:rPr>
            </w:pPr>
          </w:p>
        </w:tc>
      </w:tr>
      <w:tr>
        <w:trPr>
          <w:trHeight w:val="184"/>
        </w:trPr>
        <w:tc>
          <w:tcPr>
            <w:tcW w:w="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94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the exercise of the Option or the consummation of the transaction contemplated thereby.</w:t>
            </w:r>
          </w:p>
        </w:tc>
        <w:tc>
          <w:tcPr>
            <w:tcW w:w="0" w:type="dxa"/>
            <w:vAlign w:val="bottom"/>
          </w:tcPr>
          <w:p>
            <w:pPr>
              <w:spacing w:after="0"/>
              <w:rPr>
                <w:sz w:val="1"/>
                <w:szCs w:val="1"/>
                <w:color w:val="auto"/>
              </w:rPr>
            </w:pPr>
          </w:p>
        </w:tc>
      </w:tr>
      <w:tr>
        <w:trPr>
          <w:trHeight w:val="170"/>
        </w:trPr>
        <w:tc>
          <w:tcPr>
            <w:tcW w:w="980" w:type="dxa"/>
            <w:vAlign w:val="bottom"/>
          </w:tcPr>
          <w:p>
            <w:pPr>
              <w:spacing w:after="0"/>
              <w:rPr>
                <w:sz w:val="14"/>
                <w:szCs w:val="14"/>
                <w:color w:val="auto"/>
              </w:rPr>
            </w:pPr>
          </w:p>
        </w:tc>
        <w:tc>
          <w:tcPr>
            <w:tcW w:w="10320" w:type="dxa"/>
            <w:vAlign w:val="bottom"/>
            <w:gridSpan w:val="7"/>
          </w:tcPr>
          <w:p>
            <w:pPr>
              <w:jc w:val="right"/>
              <w:ind w:right="2"/>
              <w:spacing w:after="0"/>
              <w:rPr>
                <w:sz w:val="20"/>
                <w:szCs w:val="20"/>
                <w:color w:val="auto"/>
              </w:rPr>
            </w:pPr>
            <w:r>
              <w:rPr>
                <w:rFonts w:ascii="Times New Roman" w:cs="Times New Roman" w:eastAsia="Times New Roman" w:hAnsi="Times New Roman"/>
                <w:sz w:val="14"/>
                <w:szCs w:val="14"/>
                <w:color w:val="auto"/>
              </w:rPr>
              <w:t>•   Closing of the Option: The closing of the Option (the “</w:t>
            </w:r>
            <w:r>
              <w:rPr>
                <w:rFonts w:ascii="Times New Roman" w:cs="Times New Roman" w:eastAsia="Times New Roman" w:hAnsi="Times New Roman"/>
                <w:sz w:val="14"/>
                <w:szCs w:val="14"/>
                <w:b w:val="1"/>
                <w:bCs w:val="1"/>
                <w:color w:val="auto"/>
              </w:rPr>
              <w:t>Option Closing</w:t>
            </w:r>
            <w:r>
              <w:rPr>
                <w:rFonts w:ascii="Times New Roman" w:cs="Times New Roman" w:eastAsia="Times New Roman" w:hAnsi="Times New Roman"/>
                <w:sz w:val="14"/>
                <w:szCs w:val="14"/>
                <w:color w:val="auto"/>
              </w:rPr>
              <w:t>”) shall take place as promptly as reasonably practicable following the delivery of an Exercise Notice.</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3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94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All agreements pertaining to the Option Closing shall contain customary representations, warranties and covenants for transactions of this type.</w:t>
            </w:r>
          </w:p>
        </w:tc>
        <w:tc>
          <w:tcPr>
            <w:tcW w:w="0" w:type="dxa"/>
            <w:vAlign w:val="bottom"/>
          </w:tcPr>
          <w:p>
            <w:pPr>
              <w:spacing w:after="0"/>
              <w:rPr>
                <w:sz w:val="1"/>
                <w:szCs w:val="1"/>
                <w:color w:val="auto"/>
              </w:rPr>
            </w:pPr>
          </w:p>
        </w:tc>
      </w:tr>
      <w:tr>
        <w:trPr>
          <w:trHeight w:val="160"/>
        </w:trPr>
        <w:tc>
          <w:tcPr>
            <w:tcW w:w="980" w:type="dxa"/>
            <w:vAlign w:val="bottom"/>
          </w:tcPr>
          <w:p>
            <w:pPr>
              <w:spacing w:after="0"/>
              <w:rPr>
                <w:sz w:val="13"/>
                <w:szCs w:val="13"/>
                <w:color w:val="auto"/>
              </w:rPr>
            </w:pPr>
          </w:p>
        </w:tc>
        <w:tc>
          <w:tcPr>
            <w:tcW w:w="10320" w:type="dxa"/>
            <w:vAlign w:val="bottom"/>
            <w:gridSpan w:val="7"/>
          </w:tcPr>
          <w:p>
            <w:pPr>
              <w:jc w:val="right"/>
              <w:ind w:right="2"/>
              <w:spacing w:after="0" w:line="159" w:lineRule="exact"/>
              <w:rPr>
                <w:sz w:val="20"/>
                <w:szCs w:val="20"/>
                <w:color w:val="auto"/>
              </w:rPr>
            </w:pPr>
            <w:r>
              <w:rPr>
                <w:rFonts w:ascii="Times New Roman" w:cs="Times New Roman" w:eastAsia="Times New Roman" w:hAnsi="Times New Roman"/>
                <w:sz w:val="14"/>
                <w:szCs w:val="14"/>
                <w:color w:val="auto"/>
              </w:rPr>
              <w:t>•   100% Acquisition Election: During the Pre-Closing Innovate Exercise Period or the Post-Closing Innovate Exercise Period, as applicable, Innovate may elect (in its sole</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60" w:type="dxa"/>
            <w:vAlign w:val="bottom"/>
            <w:gridSpan w:val="3"/>
            <w:shd w:val="clear" w:color="auto" w:fill="000000"/>
          </w:tcPr>
          <w:p>
            <w:pPr>
              <w:spacing w:after="0" w:line="20" w:lineRule="exact"/>
              <w:rPr>
                <w:sz w:val="1"/>
                <w:szCs w:val="1"/>
                <w:color w:val="auto"/>
              </w:rPr>
            </w:pPr>
          </w:p>
        </w:tc>
        <w:tc>
          <w:tcPr>
            <w:tcW w:w="83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940" w:type="dxa"/>
            <w:vAlign w:val="bottom"/>
            <w:gridSpan w:val="6"/>
          </w:tcPr>
          <w:p>
            <w:pPr>
              <w:jc w:val="right"/>
              <w:ind w:right="2"/>
              <w:spacing w:after="0"/>
              <w:rPr>
                <w:sz w:val="20"/>
                <w:szCs w:val="20"/>
                <w:color w:val="auto"/>
              </w:rPr>
            </w:pPr>
            <w:r>
              <w:rPr>
                <w:rFonts w:ascii="Times New Roman" w:cs="Times New Roman" w:eastAsia="Times New Roman" w:hAnsi="Times New Roman"/>
                <w:sz w:val="14"/>
                <w:szCs w:val="14"/>
                <w:color w:val="auto"/>
              </w:rPr>
              <w:t>discretion), by delivery of written notice to EchoStar, to require EchoStar to acquire all (but not less than all) of the HC2 Equity Interests held by Innovate at the later to occur</w:t>
            </w:r>
          </w:p>
        </w:tc>
        <w:tc>
          <w:tcPr>
            <w:tcW w:w="0" w:type="dxa"/>
            <w:vAlign w:val="bottom"/>
          </w:tcPr>
          <w:p>
            <w:pPr>
              <w:spacing w:after="0"/>
              <w:rPr>
                <w:sz w:val="1"/>
                <w:szCs w:val="1"/>
                <w:color w:val="auto"/>
              </w:rPr>
            </w:pPr>
          </w:p>
        </w:tc>
      </w:tr>
      <w:tr>
        <w:trPr>
          <w:trHeight w:val="170"/>
        </w:trPr>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940" w:type="dxa"/>
            <w:vAlign w:val="bottom"/>
            <w:gridSpan w:val="6"/>
          </w:tcPr>
          <w:p>
            <w:pPr>
              <w:jc w:val="right"/>
              <w:ind w:right="2"/>
              <w:spacing w:after="0"/>
              <w:rPr>
                <w:sz w:val="20"/>
                <w:szCs w:val="20"/>
                <w:color w:val="auto"/>
              </w:rPr>
            </w:pPr>
            <w:r>
              <w:rPr>
                <w:rFonts w:ascii="Times New Roman" w:cs="Times New Roman" w:eastAsia="Times New Roman" w:hAnsi="Times New Roman"/>
                <w:sz w:val="14"/>
                <w:szCs w:val="14"/>
                <w:color w:val="auto"/>
              </w:rPr>
              <w:t>of the Merger Closing or the Option Closing (the “</w:t>
            </w:r>
            <w:r>
              <w:rPr>
                <w:rFonts w:ascii="Times New Roman" w:cs="Times New Roman" w:eastAsia="Times New Roman" w:hAnsi="Times New Roman"/>
                <w:sz w:val="14"/>
                <w:szCs w:val="14"/>
                <w:b w:val="1"/>
                <w:bCs w:val="1"/>
                <w:color w:val="auto"/>
              </w:rPr>
              <w:t>100% Acquisition Election</w:t>
            </w:r>
            <w:r>
              <w:rPr>
                <w:rFonts w:ascii="Times New Roman" w:cs="Times New Roman" w:eastAsia="Times New Roman" w:hAnsi="Times New Roman"/>
                <w:sz w:val="14"/>
                <w:szCs w:val="14"/>
                <w:color w:val="auto"/>
              </w:rPr>
              <w:t>”). In the event the 100% Acquisition Election is duly made by Innovate, at the Option Closing</w:t>
            </w:r>
          </w:p>
        </w:tc>
        <w:tc>
          <w:tcPr>
            <w:tcW w:w="0" w:type="dxa"/>
            <w:vAlign w:val="bottom"/>
          </w:tcPr>
          <w:p>
            <w:pPr>
              <w:spacing w:after="0"/>
              <w:rPr>
                <w:sz w:val="1"/>
                <w:szCs w:val="1"/>
                <w:color w:val="auto"/>
              </w:rPr>
            </w:pPr>
          </w:p>
        </w:tc>
      </w:tr>
      <w:tr>
        <w:trPr>
          <w:trHeight w:val="170"/>
        </w:trPr>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940" w:type="dxa"/>
            <w:vAlign w:val="bottom"/>
            <w:gridSpan w:val="6"/>
          </w:tcPr>
          <w:p>
            <w:pPr>
              <w:jc w:val="right"/>
              <w:ind w:right="2"/>
              <w:spacing w:after="0"/>
              <w:rPr>
                <w:sz w:val="20"/>
                <w:szCs w:val="20"/>
                <w:color w:val="auto"/>
              </w:rPr>
            </w:pPr>
            <w:r>
              <w:rPr>
                <w:rFonts w:ascii="Times New Roman" w:cs="Times New Roman" w:eastAsia="Times New Roman" w:hAnsi="Times New Roman"/>
                <w:sz w:val="14"/>
                <w:szCs w:val="14"/>
                <w:color w:val="auto"/>
              </w:rPr>
              <w:t>EchoStar will purchase (i) all of the HC2 Equity Interests then-owned by Innovate or its applicable subsidiaries (the “</w:t>
            </w:r>
            <w:r>
              <w:rPr>
                <w:rFonts w:ascii="Times New Roman" w:cs="Times New Roman" w:eastAsia="Times New Roman" w:hAnsi="Times New Roman"/>
                <w:sz w:val="14"/>
                <w:szCs w:val="14"/>
                <w:b w:val="1"/>
                <w:bCs w:val="1"/>
                <w:color w:val="auto"/>
              </w:rPr>
              <w:t>VATE HC2 Interests</w:t>
            </w:r>
            <w:r>
              <w:rPr>
                <w:rFonts w:ascii="Times New Roman" w:cs="Times New Roman" w:eastAsia="Times New Roman" w:hAnsi="Times New Roman"/>
                <w:sz w:val="14"/>
                <w:szCs w:val="14"/>
                <w:color w:val="auto"/>
              </w:rPr>
              <w:t>”) and (ii) an amount of HC2</w:t>
            </w:r>
          </w:p>
        </w:tc>
        <w:tc>
          <w:tcPr>
            <w:tcW w:w="0" w:type="dxa"/>
            <w:vAlign w:val="bottom"/>
          </w:tcPr>
          <w:p>
            <w:pPr>
              <w:spacing w:after="0"/>
              <w:rPr>
                <w:sz w:val="1"/>
                <w:szCs w:val="1"/>
                <w:color w:val="auto"/>
              </w:rPr>
            </w:pPr>
          </w:p>
        </w:tc>
      </w:tr>
      <w:tr>
        <w:trPr>
          <w:trHeight w:val="172"/>
        </w:trPr>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940" w:type="dxa"/>
            <w:vAlign w:val="bottom"/>
            <w:gridSpan w:val="6"/>
          </w:tcPr>
          <w:p>
            <w:pPr>
              <w:jc w:val="right"/>
              <w:ind w:right="2"/>
              <w:spacing w:after="0"/>
              <w:rPr>
                <w:sz w:val="20"/>
                <w:szCs w:val="20"/>
                <w:color w:val="auto"/>
              </w:rPr>
            </w:pPr>
            <w:r>
              <w:rPr>
                <w:rFonts w:ascii="Times New Roman" w:cs="Times New Roman" w:eastAsia="Times New Roman" w:hAnsi="Times New Roman"/>
                <w:sz w:val="14"/>
                <w:szCs w:val="14"/>
                <w:color w:val="auto"/>
              </w:rPr>
              <w:t xml:space="preserve">Equity Interests from CONX or its applicable subsidiaries equal to the Equity Cap </w:t>
            </w:r>
            <w:r>
              <w:rPr>
                <w:rFonts w:ascii="Times New Roman" w:cs="Times New Roman" w:eastAsia="Times New Roman" w:hAnsi="Times New Roman"/>
                <w:sz w:val="14"/>
                <w:szCs w:val="14"/>
                <w:i w:val="1"/>
                <w:iCs w:val="1"/>
                <w:color w:val="auto"/>
              </w:rPr>
              <w:t>minus</w:t>
            </w:r>
            <w:r>
              <w:rPr>
                <w:rFonts w:ascii="Times New Roman" w:cs="Times New Roman" w:eastAsia="Times New Roman" w:hAnsi="Times New Roman"/>
                <w:sz w:val="14"/>
                <w:szCs w:val="14"/>
                <w:color w:val="auto"/>
              </w:rPr>
              <w:t xml:space="preserve"> the VATE HC2 Interests. In no event shall the 100% Acquisition Election be</w:t>
            </w:r>
          </w:p>
        </w:tc>
        <w:tc>
          <w:tcPr>
            <w:tcW w:w="0" w:type="dxa"/>
            <w:vAlign w:val="bottom"/>
          </w:tcPr>
          <w:p>
            <w:pPr>
              <w:spacing w:after="0"/>
              <w:rPr>
                <w:sz w:val="1"/>
                <w:szCs w:val="1"/>
                <w:color w:val="auto"/>
              </w:rPr>
            </w:pPr>
          </w:p>
        </w:tc>
      </w:tr>
      <w:tr>
        <w:trPr>
          <w:trHeight w:val="184"/>
        </w:trPr>
        <w:tc>
          <w:tcPr>
            <w:tcW w:w="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94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effective unless EchoStar provides an Exercise Notice.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-2889250</wp:posOffset>
            </wp:positionV>
            <wp:extent cx="7168515" cy="434530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68515" cy="4345305"/>
                    </a:xfrm>
                    <a:prstGeom prst="rect">
                      <a:avLst/>
                    </a:prstGeom>
                    <a:noFill/>
                  </pic:spPr>
                </pic:pic>
              </a:graphicData>
            </a:graphic>
          </wp:anchor>
        </w:drawing>
      </w:r>
    </w:p>
    <w:p>
      <w:pPr>
        <w:spacing w:after="0" w:line="38" w:lineRule="exact"/>
        <w:rPr>
          <w:sz w:val="20"/>
          <w:szCs w:val="20"/>
          <w:color w:val="auto"/>
        </w:rPr>
      </w:pPr>
    </w:p>
    <w:p>
      <w:pPr>
        <w:ind w:left="1100" w:right="180" w:hanging="1294"/>
        <w:spacing w:after="0" w:line="265" w:lineRule="auto"/>
        <w:tabs>
          <w:tab w:leader="none" w:pos="1080" w:val="left"/>
        </w:tabs>
        <w:rPr>
          <w:sz w:val="20"/>
          <w:szCs w:val="20"/>
          <w:color w:val="auto"/>
        </w:rPr>
      </w:pPr>
      <w:r>
        <w:rPr>
          <w:rFonts w:ascii="Times New Roman" w:cs="Times New Roman" w:eastAsia="Times New Roman" w:hAnsi="Times New Roman"/>
          <w:sz w:val="14"/>
          <w:szCs w:val="14"/>
          <w:b w:val="1"/>
          <w:bCs w:val="1"/>
          <w:color w:val="auto"/>
        </w:rPr>
        <w:t>Consideration</w:t>
      </w:r>
      <w:r>
        <w:rPr>
          <w:sz w:val="20"/>
          <w:szCs w:val="20"/>
          <w:color w:val="auto"/>
        </w:rPr>
        <w:tab/>
      </w:r>
      <w:r>
        <w:rPr>
          <w:rFonts w:ascii="Times New Roman" w:cs="Times New Roman" w:eastAsia="Times New Roman" w:hAnsi="Times New Roman"/>
          <w:sz w:val="14"/>
          <w:szCs w:val="14"/>
          <w:color w:val="010000"/>
        </w:rPr>
        <w:t xml:space="preserve">• </w:t>
      </w:r>
      <w:r>
        <w:rPr>
          <w:rFonts w:ascii="Times New Roman" w:cs="Times New Roman" w:eastAsia="Times New Roman" w:hAnsi="Times New Roman"/>
          <w:sz w:val="14"/>
          <w:szCs w:val="14"/>
          <w:u w:val="single" w:color="auto"/>
          <w:color w:val="000000"/>
        </w:rPr>
        <w:t>Consideration</w:t>
      </w:r>
      <w:r>
        <w:rPr>
          <w:rFonts w:ascii="Times New Roman" w:cs="Times New Roman" w:eastAsia="Times New Roman" w:hAnsi="Times New Roman"/>
          <w:sz w:val="14"/>
          <w:szCs w:val="14"/>
          <w:color w:val="000000"/>
        </w:rPr>
        <w:t>: Upon the closing of the Option, EchoStar will pay each of CONX and Innovate (or their respective applicable subsidiaries) their</w:t>
      </w:r>
      <w:r>
        <w:rPr>
          <w:rFonts w:ascii="Times New Roman" w:cs="Times New Roman" w:eastAsia="Times New Roman" w:hAnsi="Times New Roman"/>
          <w:sz w:val="14"/>
          <w:szCs w:val="14"/>
          <w:color w:val="010000"/>
        </w:rPr>
        <w:t xml:space="preserve"> </w:t>
      </w:r>
      <w:r>
        <w:rPr>
          <w:rFonts w:ascii="Times New Roman" w:cs="Times New Roman" w:eastAsia="Times New Roman" w:hAnsi="Times New Roman"/>
          <w:sz w:val="14"/>
          <w:szCs w:val="14"/>
          <w:i w:val="1"/>
          <w:iCs w:val="1"/>
          <w:color w:val="000000"/>
        </w:rPr>
        <w:t>pro rata</w:t>
      </w:r>
      <w:r>
        <w:rPr>
          <w:rFonts w:ascii="Times New Roman" w:cs="Times New Roman" w:eastAsia="Times New Roman" w:hAnsi="Times New Roman"/>
          <w:sz w:val="14"/>
          <w:szCs w:val="14"/>
          <w:color w:val="010000"/>
        </w:rPr>
        <w:t xml:space="preserve"> </w:t>
      </w:r>
      <w:r>
        <w:rPr>
          <w:rFonts w:ascii="Times New Roman" w:cs="Times New Roman" w:eastAsia="Times New Roman" w:hAnsi="Times New Roman"/>
          <w:sz w:val="14"/>
          <w:szCs w:val="14"/>
          <w:color w:val="000000"/>
        </w:rPr>
        <w:t>share of the fair</w:t>
      </w:r>
      <w:r>
        <w:rPr>
          <w:rFonts w:ascii="Times New Roman" w:cs="Times New Roman" w:eastAsia="Times New Roman" w:hAnsi="Times New Roman"/>
          <w:sz w:val="14"/>
          <w:szCs w:val="14"/>
          <w:color w:val="010000"/>
        </w:rPr>
        <w:t xml:space="preserve"> </w:t>
      </w:r>
      <w:r>
        <w:rPr>
          <w:rFonts w:ascii="Times New Roman" w:cs="Times New Roman" w:eastAsia="Times New Roman" w:hAnsi="Times New Roman"/>
          <w:sz w:val="14"/>
          <w:szCs w:val="14"/>
          <w:color w:val="000000"/>
        </w:rPr>
        <w:t>market value of the HC2 Equity Interests on a fully-diluted basis calculated as of the expected date of the Option Closing (the “</w:t>
      </w:r>
      <w:r>
        <w:rPr>
          <w:rFonts w:ascii="Times New Roman" w:cs="Times New Roman" w:eastAsia="Times New Roman" w:hAnsi="Times New Roman"/>
          <w:sz w:val="14"/>
          <w:szCs w:val="14"/>
          <w:b w:val="1"/>
          <w:bCs w:val="1"/>
          <w:color w:val="000000"/>
        </w:rPr>
        <w:t>Fair Market Value</w:t>
      </w:r>
      <w:r>
        <w:rPr>
          <w:rFonts w:ascii="Times New Roman" w:cs="Times New Roman" w:eastAsia="Times New Roman" w:hAnsi="Times New Roman"/>
          <w:sz w:val="14"/>
          <w:szCs w:val="14"/>
          <w:color w:val="000000"/>
        </w:rPr>
        <w:t>”). The calculation of the Fair Market Value will take into account standard valuation methodologies for businesses of this type, including a discounted cash flow methodology and a valuation of comparable companies analysis.</w:t>
      </w:r>
    </w:p>
    <w:p>
      <w:pPr>
        <w:spacing w:after="0" w:line="2" w:lineRule="exact"/>
        <w:rPr>
          <w:sz w:val="20"/>
          <w:szCs w:val="20"/>
          <w:color w:val="auto"/>
        </w:rPr>
      </w:pPr>
    </w:p>
    <w:p>
      <w:pPr>
        <w:ind w:left="1360" w:hanging="251"/>
        <w:spacing w:after="0"/>
        <w:tabs>
          <w:tab w:leader="none" w:pos="1360" w:val="left"/>
        </w:tabs>
        <w:numPr>
          <w:ilvl w:val="0"/>
          <w:numId w:val="54"/>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u w:val="single" w:color="auto"/>
          <w:color w:val="auto"/>
        </w:rPr>
        <w:t>Determination of Fair Market Value</w:t>
      </w:r>
      <w:r>
        <w:rPr>
          <w:rFonts w:ascii="Times New Roman" w:cs="Times New Roman" w:eastAsia="Times New Roman" w:hAnsi="Times New Roman"/>
          <w:sz w:val="14"/>
          <w:szCs w:val="14"/>
          <w:color w:val="auto"/>
        </w:rPr>
        <w:t>:</w:t>
      </w:r>
    </w:p>
    <w:p>
      <w:pPr>
        <w:spacing w:after="0" w:line="38" w:lineRule="exact"/>
        <w:rPr>
          <w:rFonts w:ascii="Times New Roman" w:cs="Times New Roman" w:eastAsia="Times New Roman" w:hAnsi="Times New Roman"/>
          <w:sz w:val="14"/>
          <w:szCs w:val="14"/>
          <w:color w:val="010000"/>
        </w:rPr>
      </w:pPr>
    </w:p>
    <w:p>
      <w:pPr>
        <w:ind w:left="1620" w:right="380" w:hanging="255"/>
        <w:spacing w:after="0" w:line="286" w:lineRule="auto"/>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010000"/>
        </w:rPr>
        <w:t xml:space="preserve">o </w:t>
      </w:r>
      <w:r>
        <w:rPr>
          <w:rFonts w:ascii="Times New Roman" w:cs="Times New Roman" w:eastAsia="Times New Roman" w:hAnsi="Times New Roman"/>
          <w:sz w:val="14"/>
          <w:szCs w:val="14"/>
          <w:color w:val="000000"/>
        </w:rPr>
        <w:t>For a five-day period following the delivery of the Exercise Notice (the “</w:t>
      </w:r>
      <w:r>
        <w:rPr>
          <w:rFonts w:ascii="Times New Roman" w:cs="Times New Roman" w:eastAsia="Times New Roman" w:hAnsi="Times New Roman"/>
          <w:sz w:val="14"/>
          <w:szCs w:val="14"/>
          <w:b w:val="1"/>
          <w:bCs w:val="1"/>
          <w:color w:val="000000"/>
        </w:rPr>
        <w:t>Negotiation Period</w:t>
      </w:r>
      <w:r>
        <w:rPr>
          <w:rFonts w:ascii="Times New Roman" w:cs="Times New Roman" w:eastAsia="Times New Roman" w:hAnsi="Times New Roman"/>
          <w:sz w:val="14"/>
          <w:szCs w:val="14"/>
          <w:color w:val="000000"/>
        </w:rPr>
        <w:t>”), each of EchoStar, CONX and Innovate shall cooperate in good faith</w:t>
      </w:r>
      <w:r>
        <w:rPr>
          <w:rFonts w:ascii="Times New Roman" w:cs="Times New Roman" w:eastAsia="Times New Roman" w:hAnsi="Times New Roman"/>
          <w:sz w:val="14"/>
          <w:szCs w:val="14"/>
          <w:color w:val="010000"/>
        </w:rPr>
        <w:t xml:space="preserve"> </w:t>
      </w:r>
      <w:r>
        <w:rPr>
          <w:rFonts w:ascii="Times New Roman" w:cs="Times New Roman" w:eastAsia="Times New Roman" w:hAnsi="Times New Roman"/>
          <w:sz w:val="14"/>
          <w:szCs w:val="14"/>
          <w:color w:val="000000"/>
        </w:rPr>
        <w:t>using information available to each of EchoStar, CONX and Innovate to determine the Fair Market Value.</w:t>
      </w:r>
    </w:p>
    <w:p>
      <w:pPr>
        <w:ind w:left="1940" w:right="160" w:hanging="248"/>
        <w:spacing w:after="0" w:line="261" w:lineRule="auto"/>
        <w:tabs>
          <w:tab w:leader="none" w:pos="1936" w:val="left"/>
        </w:tabs>
        <w:numPr>
          <w:ilvl w:val="1"/>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at the end of the Negotiation Period EchoStar, CONX and Innovate have not reached an agreement as to the calculation of Fair Market Value, each of EchoStar, CONX and Innovate shall within five Business Days engage a nationally-recognized investment banking firm with experience valuing businesses similar to the business of HC2 (the “</w:t>
      </w:r>
      <w:r>
        <w:rPr>
          <w:rFonts w:ascii="Times New Roman" w:cs="Times New Roman" w:eastAsia="Times New Roman" w:hAnsi="Times New Roman"/>
          <w:sz w:val="14"/>
          <w:szCs w:val="14"/>
          <w:b w:val="1"/>
          <w:bCs w:val="1"/>
          <w:color w:val="auto"/>
        </w:rPr>
        <w:t>Valuation Firm</w:t>
      </w:r>
      <w:r>
        <w:rPr>
          <w:rFonts w:ascii="Times New Roman" w:cs="Times New Roman" w:eastAsia="Times New Roman" w:hAnsi="Times New Roman"/>
          <w:sz w:val="14"/>
          <w:szCs w:val="14"/>
          <w:color w:val="auto"/>
        </w:rPr>
        <w:t>”) to calculate Fair Market Value. The Valuation Firm shall be reasonably acceptable to each of EchoStar, CONX and Innovate. If the parties are unable to agree on a Valuation Firm, then EchoStar shall propose a list of three potential Valuation Firms. CONX shall have the right to eliminate one such potential Valuation Firm, and then Innovate shall be entitled to</w:t>
      </w:r>
    </w:p>
    <w:p>
      <w:pPr>
        <w:spacing w:after="0" w:line="200" w:lineRule="exact"/>
        <w:rPr>
          <w:sz w:val="20"/>
          <w:szCs w:val="20"/>
          <w:color w:val="auto"/>
        </w:rPr>
      </w:pPr>
    </w:p>
    <w:p>
      <w:pPr>
        <w:spacing w:after="0" w:line="340"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1300"/>
          </w:cols>
          <w:pgMar w:left="300" w:top="819" w:right="299" w:bottom="1440" w:gutter="0" w:footer="0" w:header="0"/>
        </w:sectPr>
      </w:pPr>
    </w:p>
    <w:bookmarkStart w:id="231" w:name="page232"/>
    <w:bookmarkEnd w:id="231"/>
    <w:p>
      <w:pPr>
        <w:ind w:left="188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193675</wp:posOffset>
            </wp:positionH>
            <wp:positionV relativeFrom="page">
              <wp:posOffset>546735</wp:posOffset>
            </wp:positionV>
            <wp:extent cx="7168515" cy="26879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68515" cy="2687955"/>
                    </a:xfrm>
                    <a:prstGeom prst="rect">
                      <a:avLst/>
                    </a:prstGeom>
                    <a:noFill/>
                  </pic:spPr>
                </pic:pic>
              </a:graphicData>
            </a:graphic>
          </wp:anchor>
        </w:drawing>
        <w:t>select either of the remaining two potential Valuation Firms to be the Valuation Firm.</w:t>
      </w:r>
    </w:p>
    <w:p>
      <w:pPr>
        <w:spacing w:after="0" w:line="51" w:lineRule="exact"/>
        <w:rPr>
          <w:sz w:val="20"/>
          <w:szCs w:val="20"/>
          <w:color w:val="auto"/>
        </w:rPr>
      </w:pPr>
    </w:p>
    <w:p>
      <w:pPr>
        <w:ind w:left="1880" w:hanging="248"/>
        <w:spacing w:after="0"/>
        <w:tabs>
          <w:tab w:leader="none" w:pos="1880" w:val="left"/>
        </w:tabs>
        <w:numPr>
          <w:ilvl w:val="1"/>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Valuation Firm shall provide its calculation of Fair Market Value to EchoStar, CONX and Innovate within 15 days of its engagement.</w:t>
      </w:r>
    </w:p>
    <w:p>
      <w:pPr>
        <w:spacing w:after="0" w:line="51" w:lineRule="exact"/>
        <w:rPr>
          <w:rFonts w:ascii="Times New Roman" w:cs="Times New Roman" w:eastAsia="Times New Roman" w:hAnsi="Times New Roman"/>
          <w:sz w:val="14"/>
          <w:szCs w:val="14"/>
          <w:color w:val="auto"/>
        </w:rPr>
      </w:pPr>
    </w:p>
    <w:p>
      <w:pPr>
        <w:ind w:left="1880" w:right="40" w:hanging="248"/>
        <w:spacing w:after="0" w:line="261" w:lineRule="auto"/>
        <w:tabs>
          <w:tab w:leader="none" w:pos="1876" w:val="left"/>
        </w:tabs>
        <w:numPr>
          <w:ilvl w:val="1"/>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anything to the contrary in the Merger Agreement or this Exhibit A, (x) in no event shall the Fair Market Value be less than the aggregate equity value of the HC2 Equity Interests on a fully-diluted basis implied by the Merger Agreement, (y) if Innovate has exercised any portion of the Innovate Option prior to the exercise of the Option, in no event shall the Fair Market Value be less than $300,000,000 and (z) if Innovate exercises the Innovate Option for the first time during the Pre-Closing Innovate Exercise Period or the Post-Closing Innovate Exercise Period, in each case for an aggregate amount that is greater than or equal to $15,000,000, in no event shall the Fair Market Value be less than $300,000,000.</w:t>
      </w:r>
    </w:p>
    <w:p>
      <w:pPr>
        <w:spacing w:after="0" w:line="15" w:lineRule="exact"/>
        <w:rPr>
          <w:rFonts w:ascii="Times New Roman" w:cs="Times New Roman" w:eastAsia="Times New Roman" w:hAnsi="Times New Roman"/>
          <w:sz w:val="14"/>
          <w:szCs w:val="14"/>
          <w:color w:val="auto"/>
        </w:rPr>
      </w:pPr>
    </w:p>
    <w:p>
      <w:pPr>
        <w:ind w:left="1880" w:hanging="248"/>
        <w:spacing w:after="0" w:line="284" w:lineRule="auto"/>
        <w:tabs>
          <w:tab w:leader="none" w:pos="1876" w:val="left"/>
        </w:tabs>
        <w:numPr>
          <w:ilvl w:val="1"/>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Subject to the other provisions of this </w:t>
      </w:r>
      <w:r>
        <w:rPr>
          <w:rFonts w:ascii="Times New Roman" w:cs="Times New Roman" w:eastAsia="Times New Roman" w:hAnsi="Times New Roman"/>
          <w:sz w:val="14"/>
          <w:szCs w:val="14"/>
          <w:u w:val="single" w:color="auto"/>
          <w:color w:val="auto"/>
        </w:rPr>
        <w:t>Exhibit A</w:t>
      </w:r>
      <w:r>
        <w:rPr>
          <w:rFonts w:ascii="Times New Roman" w:cs="Times New Roman" w:eastAsia="Times New Roman" w:hAnsi="Times New Roman"/>
          <w:sz w:val="14"/>
          <w:szCs w:val="14"/>
          <w:color w:val="auto"/>
        </w:rPr>
        <w:t>, the calculation of the Fair Market Value pursuant to these procedures shall be binding on each of EchoStar, CONX and Innovate for purposes of determining the Fair Market Value.</w:t>
      </w:r>
    </w:p>
    <w:p>
      <w:pPr>
        <w:ind w:left="1880" w:right="280" w:hanging="248"/>
        <w:spacing w:after="0" w:line="270" w:lineRule="auto"/>
        <w:tabs>
          <w:tab w:leader="none" w:pos="1876" w:val="left"/>
        </w:tabs>
        <w:numPr>
          <w:ilvl w:val="1"/>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EchoStar shall not be required to consummate the Option Closing if the Fair Market Value as determined by the Valuation Firm is not reasonably acceptable to EchoStar so long as EchoStar delivered the Exercise Notice giving rise to the engagement of the Valuation Firm in good faith;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in the event that EchoStar does not consummate the Option Closing following the engagement of the Valuation Firm, EchoStar shall pay all fees of the Valuation Firm.</w:t>
      </w:r>
    </w:p>
    <w:p>
      <w:pPr>
        <w:spacing w:after="0" w:line="8" w:lineRule="exact"/>
        <w:rPr>
          <w:rFonts w:ascii="Times New Roman" w:cs="Times New Roman" w:eastAsia="Times New Roman" w:hAnsi="Times New Roman"/>
          <w:sz w:val="14"/>
          <w:szCs w:val="14"/>
          <w:color w:val="auto"/>
        </w:rPr>
      </w:pPr>
    </w:p>
    <w:p>
      <w:pPr>
        <w:ind w:left="1300" w:right="140" w:hanging="251"/>
        <w:spacing w:after="0" w:line="276" w:lineRule="auto"/>
        <w:tabs>
          <w:tab w:leader="none" w:pos="1296" w:val="left"/>
        </w:tabs>
        <w:numPr>
          <w:ilvl w:val="0"/>
          <w:numId w:val="55"/>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u w:val="single" w:color="auto"/>
          <w:color w:val="auto"/>
        </w:rPr>
        <w:t>Valuation Firm Costs</w:t>
      </w:r>
      <w:r>
        <w:rPr>
          <w:rFonts w:ascii="Times New Roman" w:cs="Times New Roman" w:eastAsia="Times New Roman" w:hAnsi="Times New Roman"/>
          <w:sz w:val="14"/>
          <w:szCs w:val="14"/>
          <w:color w:val="auto"/>
        </w:rPr>
        <w:t xml:space="preserve">: Subject to the other provisions of this </w:t>
      </w:r>
      <w:r>
        <w:rPr>
          <w:rFonts w:ascii="Times New Roman" w:cs="Times New Roman" w:eastAsia="Times New Roman" w:hAnsi="Times New Roman"/>
          <w:sz w:val="14"/>
          <w:szCs w:val="14"/>
          <w:u w:val="single" w:color="auto"/>
          <w:color w:val="auto"/>
        </w:rPr>
        <w:t>Exhibit A</w:t>
      </w:r>
      <w:r>
        <w:rPr>
          <w:rFonts w:ascii="Times New Roman" w:cs="Times New Roman" w:eastAsia="Times New Roman" w:hAnsi="Times New Roman"/>
          <w:sz w:val="14"/>
          <w:szCs w:val="14"/>
          <w:color w:val="auto"/>
        </w:rPr>
        <w:t>, in the event the Valuation Firm is engaged to calculate the Fair Market Value, EchoStar, CONX and Innovate shall share the expenses related to such engagement equally.</w:t>
      </w:r>
    </w:p>
    <w:p>
      <w:pPr>
        <w:spacing w:after="0" w:line="1" w:lineRule="exact"/>
        <w:rPr>
          <w:rFonts w:ascii="Times New Roman" w:cs="Times New Roman" w:eastAsia="Times New Roman" w:hAnsi="Times New Roman"/>
          <w:sz w:val="14"/>
          <w:szCs w:val="14"/>
          <w:color w:val="010000"/>
        </w:rPr>
      </w:pPr>
    </w:p>
    <w:p>
      <w:pPr>
        <w:ind w:left="1300" w:right="580" w:hanging="251"/>
        <w:spacing w:after="0" w:line="287" w:lineRule="auto"/>
        <w:tabs>
          <w:tab w:leader="none" w:pos="1296" w:val="left"/>
        </w:tabs>
        <w:numPr>
          <w:ilvl w:val="0"/>
          <w:numId w:val="55"/>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u w:val="single" w:color="auto"/>
          <w:color w:val="auto"/>
        </w:rPr>
        <w:t>Information</w:t>
      </w:r>
      <w:r>
        <w:rPr>
          <w:rFonts w:ascii="Times New Roman" w:cs="Times New Roman" w:eastAsia="Times New Roman" w:hAnsi="Times New Roman"/>
          <w:sz w:val="14"/>
          <w:szCs w:val="14"/>
          <w:color w:val="auto"/>
        </w:rPr>
        <w:t>: HC2 shall provide reasonable diligence information and make members of HC2 management reasonably available to EchoStar, CONX and HC2, their respective representatives and the Valuation Firms in connection with the determination of Fair Market Value.</w:t>
      </w:r>
    </w:p>
    <w:p>
      <w:pPr>
        <w:spacing w:after="0" w:line="16" w:lineRule="exact"/>
        <w:rPr>
          <w:sz w:val="20"/>
          <w:szCs w:val="20"/>
          <w:color w:val="auto"/>
        </w:rPr>
      </w:pPr>
    </w:p>
    <w:p>
      <w:pPr>
        <w:spacing w:after="0"/>
        <w:tabs>
          <w:tab w:leader="none" w:pos="1020" w:val="left"/>
          <w:tab w:leader="none" w:pos="1280" w:val="left"/>
        </w:tabs>
        <w:rPr>
          <w:sz w:val="20"/>
          <w:szCs w:val="20"/>
          <w:color w:val="auto"/>
        </w:rPr>
      </w:pPr>
      <w:r>
        <w:rPr>
          <w:rFonts w:ascii="Times New Roman" w:cs="Times New Roman" w:eastAsia="Times New Roman" w:hAnsi="Times New Roman"/>
          <w:sz w:val="14"/>
          <w:szCs w:val="14"/>
          <w:b w:val="1"/>
          <w:bCs w:val="1"/>
          <w:color w:val="auto"/>
        </w:rPr>
        <w:t>Notice Right</w:t>
      </w:r>
      <w:r>
        <w:rPr>
          <w:sz w:val="20"/>
          <w:szCs w:val="20"/>
          <w:color w:val="auto"/>
        </w:rPr>
        <w:tab/>
      </w:r>
      <w:r>
        <w:rPr>
          <w:rFonts w:ascii="Times New Roman" w:cs="Times New Roman" w:eastAsia="Times New Roman" w:hAnsi="Times New Roman"/>
          <w:sz w:val="14"/>
          <w:szCs w:val="14"/>
          <w:color w:val="010000"/>
        </w:rPr>
        <w:t>•</w:t>
      </w:r>
      <w:r>
        <w:rPr>
          <w:rFonts w:ascii="Times New Roman" w:cs="Times New Roman" w:eastAsia="Times New Roman" w:hAnsi="Times New Roman"/>
          <w:sz w:val="14"/>
          <w:szCs w:val="14"/>
          <w:color w:val="auto"/>
        </w:rPr>
        <w:tab/>
        <w:t>In the event that either CONX or Innovate transfer any of their HC2 Equity Interests to any Person, in each case other than pursuant to (i) transactions among Affiliates or</w:t>
      </w:r>
    </w:p>
    <w:p>
      <w:pPr>
        <w:spacing w:after="0" w:line="36" w:lineRule="exact"/>
        <w:rPr>
          <w:sz w:val="20"/>
          <w:szCs w:val="20"/>
          <w:color w:val="auto"/>
        </w:rPr>
      </w:pPr>
    </w:p>
    <w:p>
      <w:pPr>
        <w:ind w:left="1300" w:right="160" w:firstLine="4"/>
        <w:spacing w:after="0" w:line="259" w:lineRule="auto"/>
        <w:tabs>
          <w:tab w:leader="none" w:pos="1508"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Merger Agreement, CONX or Innovate, as applicable, shall deliver written notice to EchoStar within five Business Days of the consummation any such transaction and CONX or Innovate, as applicable, shall include provisions in the definitive documentation related to such a transaction such that the applicable HC2 Equity Interests remain subject to the Option.</w:t>
      </w:r>
    </w:p>
    <w:p>
      <w:pPr>
        <w:sectPr>
          <w:pgSz w:w="11900" w:h="16838" w:orient="portrait"/>
          <w:cols w:equalWidth="0" w:num="1">
            <w:col w:w="11140"/>
          </w:cols>
          <w:pgMar w:left="360" w:top="878" w:right="399" w:bottom="1440" w:gutter="0" w:footer="0" w:header="0"/>
        </w:sectPr>
      </w:pP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Expenses</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10000"/>
        </w:rPr>
        <w:t>•</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ind w:right="180" w:hanging="3"/>
        <w:spacing w:after="0" w:line="287" w:lineRule="auto"/>
        <w:rPr>
          <w:sz w:val="20"/>
          <w:szCs w:val="20"/>
          <w:color w:val="auto"/>
        </w:rPr>
      </w:pPr>
      <w:r>
        <w:rPr>
          <w:rFonts w:ascii="Times New Roman" w:cs="Times New Roman" w:eastAsia="Times New Roman" w:hAnsi="Times New Roman"/>
          <w:sz w:val="14"/>
          <w:szCs w:val="14"/>
          <w:color w:val="auto"/>
        </w:rPr>
        <w:t>In the event EchoStar exercises the Option, EchoStar shall reimburse CONX for all documented out-of-pocket expenses incurred by CONX in connection with the Merger Agreement, the Innovate Option, the Option, and the transactions contemplated thereby, including, without limitation, the negotiation of such documents.</w:t>
      </w:r>
    </w:p>
    <w:p>
      <w:pPr>
        <w:spacing w:after="0" w:line="200" w:lineRule="exact"/>
        <w:rPr>
          <w:sz w:val="20"/>
          <w:szCs w:val="20"/>
          <w:color w:val="auto"/>
        </w:rPr>
      </w:pPr>
    </w:p>
    <w:p>
      <w:pPr>
        <w:sectPr>
          <w:pgSz w:w="11900" w:h="16838" w:orient="portrait"/>
          <w:cols w:equalWidth="0" w:num="3">
            <w:col w:w="560" w:space="480"/>
            <w:col w:w="60" w:space="200"/>
            <w:col w:w="9840"/>
          </w:cols>
          <w:pgMar w:left="360" w:top="878" w:right="399" w:bottom="1440" w:gutter="0" w:footer="0" w:header="0"/>
          <w:type w:val="continuous"/>
        </w:sectPr>
      </w:pPr>
    </w:p>
    <w:p>
      <w:pPr>
        <w:spacing w:after="0" w:line="200" w:lineRule="exact"/>
        <w:rPr>
          <w:sz w:val="20"/>
          <w:szCs w:val="20"/>
          <w:color w:val="auto"/>
        </w:rPr>
      </w:pPr>
    </w:p>
    <w:p>
      <w:pPr>
        <w:spacing w:after="0" w:line="291"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7"/>
          <w:szCs w:val="17"/>
          <w:color w:val="auto"/>
        </w:rPr>
        <w:t>-5-</w:t>
      </w:r>
    </w:p>
    <w:p>
      <w:pPr>
        <w:sectPr>
          <w:pgSz w:w="11900" w:h="16838" w:orient="portrait"/>
          <w:cols w:equalWidth="0" w:num="1">
            <w:col w:w="11140"/>
          </w:cols>
          <w:pgMar w:left="360" w:top="878" w:right="399" w:bottom="1440" w:gutter="0" w:footer="0" w:header="0"/>
          <w:type w:val="continuous"/>
        </w:sectPr>
      </w:pPr>
    </w:p>
    <w:bookmarkStart w:id="232" w:name="page233"/>
    <w:bookmarkEnd w:id="232"/>
    <w:p>
      <w:pPr>
        <w:ind w:left="970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523875</wp:posOffset>
            </wp:positionH>
            <wp:positionV relativeFrom="page">
              <wp:posOffset>102235</wp:posOffset>
            </wp:positionV>
            <wp:extent cx="970280" cy="27622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clrChange>
                        <a:clrFrom>
                          <a:srgbClr val="FFFFFF"/>
                        </a:clrFrom>
                        <a:clrTo>
                          <a:srgbClr val="FFFFFF">
                            <a:alpha val="0"/>
                          </a:srgbClr>
                        </a:clrTo>
                      </a:clrChange>
                      <a:extLst>
                        <a:ext uri="{28A0092B-C50C-407E-A947-70E740481C1C}"/>
                      </a:extLst>
                    </a:blip>
                    <a:srcRect/>
                    <a:stretch>
                      <a:fillRect/>
                    </a:stretch>
                  </pic:blipFill>
                  <pic:spPr bwMode="auto">
                    <a:xfrm>
                      <a:off x="0" y="0"/>
                      <a:ext cx="970280" cy="276225"/>
                    </a:xfrm>
                    <a:prstGeom prst="rect">
                      <a:avLst/>
                    </a:prstGeom>
                    <a:noFill/>
                  </pic:spPr>
                </pic:pic>
              </a:graphicData>
            </a:graphic>
          </wp:anchor>
        </w:drawing>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INNOVATE Announces Successful Closing of Broadcasting Refinancing and Agrees to Partial Sale of Broadcasting</w:t>
      </w:r>
    </w:p>
    <w:p>
      <w:pPr>
        <w:spacing w:after="0" w:line="187" w:lineRule="exact"/>
        <w:rPr>
          <w:sz w:val="20"/>
          <w:szCs w:val="20"/>
          <w:color w:val="auto"/>
        </w:rPr>
      </w:pPr>
    </w:p>
    <w:p>
      <w:pPr>
        <w:jc w:val="both"/>
        <w:spacing w:after="0" w:line="246" w:lineRule="auto"/>
        <w:rPr>
          <w:sz w:val="20"/>
          <w:szCs w:val="20"/>
          <w:color w:val="auto"/>
        </w:rPr>
      </w:pPr>
      <w:r>
        <w:rPr>
          <w:rFonts w:ascii="Arial" w:cs="Arial" w:eastAsia="Arial" w:hAnsi="Arial"/>
          <w:sz w:val="16"/>
          <w:szCs w:val="16"/>
          <w:b w:val="1"/>
          <w:bCs w:val="1"/>
          <w:color w:val="auto"/>
        </w:rPr>
        <w:t xml:space="preserve">NEW YORK, NY, June 1, 2026 (GLOBE NEWSWIRE) </w:t>
      </w:r>
      <w:r>
        <w:rPr>
          <w:rFonts w:ascii="Arial" w:cs="Arial" w:eastAsia="Arial" w:hAnsi="Arial"/>
          <w:sz w:val="16"/>
          <w:szCs w:val="16"/>
          <w:color w:val="auto"/>
        </w:rPr>
        <w:t>-- INNOVATE Corp. (NYSE: VATE) (“INNOVATE” or the “Company”) announced today that HC2</w:t>
      </w:r>
      <w:r>
        <w:rPr>
          <w:rFonts w:ascii="Arial" w:cs="Arial" w:eastAsia="Arial" w:hAnsi="Arial"/>
          <w:sz w:val="16"/>
          <w:szCs w:val="16"/>
          <w:b w:val="1"/>
          <w:bCs w:val="1"/>
          <w:color w:val="auto"/>
        </w:rPr>
        <w:t xml:space="preserve"> </w:t>
      </w:r>
      <w:r>
        <w:rPr>
          <w:rFonts w:ascii="Arial" w:cs="Arial" w:eastAsia="Arial" w:hAnsi="Arial"/>
          <w:sz w:val="16"/>
          <w:szCs w:val="16"/>
          <w:color w:val="auto"/>
        </w:rPr>
        <w:t>Broadcasting Holdings Inc. (“Broadcasting”) closed on a refinancing transaction and that Broadcasting and HC2 Broadcasting Holdco, LLC (“HC2 Holdco”), subsidiaries of INNOVATE, have entered into a definitive agreement pursuant to which INNOVATE will sell a controlling interest in Broadcasting to CONX CORP. (“CONX”), subject to the satisfaction of customary closing conditions, including the receipt of required regulatory approvals. After the closing of the transaction, it is expected that CONX will own approximately 75% of Broadcasting and INNOVATE will own approximately 25% of Broadcasting through HC2 Holdco.</w:t>
      </w:r>
    </w:p>
    <w:p>
      <w:pPr>
        <w:spacing w:after="0" w:line="15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view this transaction as an important step forward in addressing INNOVATE’s capital structure while reinforcing our strategic priorities,” said Paul Voigt, Interim CEO of INNOVATE. "Broadcasting and its subsidiaries have successfully acquired and built 260 TV broadcast television stations since 2017, with considerably more underway. Today the segment operates the largest portfolio of Class A and LPTV licenses in the country, distributing more than 50 broadcast networks in over 40 states."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Refinancing Transaction</w:t>
      </w:r>
    </w:p>
    <w:p>
      <w:pPr>
        <w:spacing w:after="0" w:line="18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Broadcasting entered into a $ 105 million loan agreement (the “New Loan”) with HC2 Merger Sub, LLC, a subsidiary of CONX (“Merger Sub”). The proceeds of the New Loan were used to fully satisfy Broadcasting’s existing 8.50% and 11.45% notes, to fund the repurchase of certain equity interests held by Broadcasting’s noteholders, and to pay related transaction costs. The New Loan and interest accrued thereon are expected to be extinguished as consideration in the Merger and will not require cash repayment upon closing of the merger. The New Loan matures on May 29, 2027, subject to earlier acceleration in accordance with its terms.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Merger Agreement</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INNOVATE has entered into a merger agreement pursuant to which Merger Sub will merge with and into Broadcasting, with Broadcasting as the surviving corporation. As a result of the merger, after the closing it is expected that CONX will own approximately 75% of Broadcasting and INNOVATE will own approximately 25% of Broadcasting through HC2 Holdco.</w:t>
      </w:r>
    </w:p>
    <w:p>
      <w:pPr>
        <w:spacing w:after="0" w:line="156"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As part of the merger, CONX has agreed to provide Broadcasting with an equity commitment of up to $75 million to be funded after closing of the merger, subject to reduction for post-closing purchase price adjustments, and certain expense and indemnification obligations, and the New Loan and interest accrued thereon will be extinguished upon closing of the merger.</w:t>
      </w:r>
    </w:p>
    <w:p>
      <w:pPr>
        <w:spacing w:after="0" w:line="14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For an 18-month period from and after the closing date, INNOVATE will have the option to purchase up to 15% of Broadcasting’s ownership, on a fully diluted basis, from CONX. The transaction has been approved by the Boards of Directors of each of INNOVATE and CONX.</w:t>
      </w:r>
    </w:p>
    <w:p>
      <w:pPr>
        <w:spacing w:after="0" w:line="13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connection with the merger agreement, CONX, INNOVATE and an affiliate of CONX (the “CONX Affiliate”) have also entered into a letter agreement pursuant to which CONX and INNOVATE have granted the CONX Affiliate an option, exercisable for a period of two years from the date of the letter agreement, to acquire up to 80.1% of the equity interests of Broadcasting on a fully-diluted basis. If the CONX Affiliate exercises such option, the CONX Affiliate would first acquire all of the equity interests of Broadcasting held by CONX, together with an additional amount of equity</w:t>
      </w:r>
    </w:p>
    <w:p>
      <w:pPr>
        <w:sectPr>
          <w:pgSz w:w="11900" w:h="16838" w:orient="portrait"/>
          <w:cols w:equalWidth="0" w:num="1">
            <w:col w:w="11280"/>
          </w:cols>
          <w:pgMar w:left="300" w:top="299" w:right="319" w:bottom="1440" w:gutter="0" w:footer="0" w:header="0"/>
        </w:sectPr>
      </w:pPr>
    </w:p>
    <w:bookmarkStart w:id="233" w:name="page234"/>
    <w:bookmarkEnd w:id="233"/>
    <w:p>
      <w:pPr>
        <w:jc w:val="both"/>
        <w:spacing w:after="0" w:line="275" w:lineRule="auto"/>
        <w:rPr>
          <w:sz w:val="20"/>
          <w:szCs w:val="20"/>
          <w:color w:val="auto"/>
        </w:rPr>
      </w:pPr>
      <w:r>
        <w:rPr>
          <w:rFonts w:ascii="Arial" w:cs="Arial" w:eastAsia="Arial" w:hAnsi="Arial"/>
          <w:sz w:val="16"/>
          <w:szCs w:val="16"/>
          <w:color w:val="auto"/>
        </w:rPr>
        <w:t>interests from INNOVATE necessary to reach the 80.1% threshold, subject to INNOVATE's right to require the CONX Affiliate to first acquire all of INNOVATE’s remaining equity interests in Broadcasting.</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For more information, please refer to the Form 8-K that will be filed by INNOVATE with the U.S. Securities and Exchange Commission (the “SEC”).</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INNOVATE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INNOVATE Corp. is a portfolio of best-in-class assets in three key areas of the new economy. Dedicated to stakeholder capitalism, INNOVATE employs</w:t>
      </w:r>
    </w:p>
    <w:p>
      <w:pPr>
        <w:spacing w:after="0" w:line="235" w:lineRule="auto"/>
        <w:rPr>
          <w:sz w:val="20"/>
          <w:szCs w:val="20"/>
          <w:color w:val="auto"/>
        </w:rPr>
      </w:pPr>
      <w:r>
        <w:rPr>
          <w:rFonts w:ascii="Arial" w:cs="Arial" w:eastAsia="Arial" w:hAnsi="Arial"/>
          <w:sz w:val="16"/>
          <w:szCs w:val="16"/>
          <w:color w:val="auto"/>
        </w:rPr>
        <w:t>approximately 3,700 people across its subsidiaries. For more information,</w:t>
      </w:r>
    </w:p>
    <w:p>
      <w:pPr>
        <w:spacing w:after="0"/>
        <w:rPr>
          <w:sz w:val="20"/>
          <w:szCs w:val="20"/>
          <w:color w:val="auto"/>
        </w:rPr>
      </w:pPr>
      <w:r>
        <w:rPr>
          <w:rFonts w:ascii="Arial" w:cs="Arial" w:eastAsia="Arial" w:hAnsi="Arial"/>
          <w:sz w:val="16"/>
          <w:szCs w:val="16"/>
          <w:color w:val="auto"/>
        </w:rPr>
        <w:t xml:space="preserve">please visit: </w:t>
      </w:r>
      <w:r>
        <w:rPr>
          <w:rFonts w:ascii="Arial" w:cs="Arial" w:eastAsia="Arial" w:hAnsi="Arial"/>
          <w:sz w:val="16"/>
          <w:szCs w:val="16"/>
          <w:color w:val="0000FF"/>
        </w:rPr>
        <w:t>http://www.innovatecorp.com.</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Broadcasting</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Broadcasting and its subsidiaries strategically acquire and operate over-the-air broadcasting stations across the United States.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CONX CORP.</w:t>
      </w:r>
    </w:p>
    <w:p>
      <w:pPr>
        <w:spacing w:after="0" w:line="12"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CONX is a diversified operating entity seeking opportunities to power the next generation of innovators in communications and connectivity. CONX’s mission is to partner with emerging companies with quality management and strong and differentiated business models with the ability to scale quickly.</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Advisors</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Cleary Gottlieb Steen &amp; Hamilton LLP is serving as legal advisor to the Company. Dundon Advisers LLC is serving as financial advisor to the Company.</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23"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This press release contains certain forward-looking statements within the meaning of the federal securities laws with respect to the proposed merger of Broadcasting and Merger Sub, including, but not limited to, statements regarding: the proposed merger and the anticipated timing of the closing thereof; the refinancing transaction and the terms thereof; the expected benefits of the transaction to INNOVATE and its stockholders; the equity commitment from CONX and the anticipated use and timing of funding thereof; the expected ownership structure following the merger; INNOVATE’s option to purchase additional ownership; the business, operations and prospects of Broadcasting and its subsidiaries following the merger; the development of ATSC 3.0 and 5G capabilities; and INNOVATE’s strategies with respect to its capital structure. These forward-looking statements generally are identified by the words “believe,” “expect,” “anticipate,” “strategy,” “future,” “opportunity,” “may,” “will,” and similar expressions. Forward-looking statements are based on current expectations and assumptions and are subject to risks and uncertainties. You are cautioned that these statements are not guarantees of future performance and that INNOVATE’s actual results may differ materially from those set forth in the forward-looking statements.</w:t>
      </w:r>
    </w:p>
    <w:p>
      <w:pPr>
        <w:spacing w:after="0" w:line="160"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Many factors could cause actual results to differ materially from these forward-looking statements, including, but not limited to: (i) the failure to complete the proposed merger on anticipated terms and timing or at all; (ii) the failure to obtain FCC approval or other required regulatory approvals in a timely manner or at all, or the imposition of conditions in connection with such approvals; (iii) the occurrence of any event, change or other circumstance that could give rise to the termination of the merger agreement or an acceleration of the New Loan; (iv) the effect of the announcement or pendency of the transaction on INNOVATE’s or Broadcasting’s business; (v) macroeconomic conditions and (vi) the other risks and uncertainties under the heading “Risk Factors” set forth in INNOVATE’s Annual Report on Form 10-K, as supplemented by INNOVATE’s quarterly reports on Form 10-Q, and other filings with the SEC. Such filings are available on INNOVATE’s website or at</w:t>
      </w:r>
    </w:p>
    <w:p>
      <w:pPr>
        <w:sectPr>
          <w:pgSz w:w="11900" w:h="16838" w:orient="portrait"/>
          <w:cols w:equalWidth="0" w:num="1">
            <w:col w:w="11280"/>
          </w:cols>
          <w:pgMar w:left="300" w:top="1143" w:right="319" w:bottom="1440" w:gutter="0" w:footer="0" w:header="0"/>
        </w:sectPr>
      </w:pPr>
    </w:p>
    <w:bookmarkStart w:id="234" w:name="page235"/>
    <w:bookmarkEnd w:id="234"/>
    <w:p>
      <w:pPr>
        <w:jc w:val="both"/>
        <w:spacing w:after="0" w:line="255" w:lineRule="auto"/>
        <w:rPr>
          <w:sz w:val="20"/>
          <w:szCs w:val="20"/>
          <w:color w:val="auto"/>
        </w:rPr>
      </w:pPr>
      <w:r>
        <w:rPr>
          <w:rFonts w:ascii="Arial" w:cs="Arial" w:eastAsia="Arial" w:hAnsi="Arial"/>
          <w:sz w:val="16"/>
          <w:szCs w:val="16"/>
          <w:color w:val="auto"/>
        </w:rPr>
        <w:t>www.sec.gov. You should not place undue reliance on these forward-looking statements, which are made only as of the date of this press release. INNOVATE undertakes no obligation to publicly update or revise these forward-looking statements to reflect subsequent developments, events, or circumstances, except as may be required under applicable securities laws.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Investor Contact:</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Solebury Strategic Communications Anthony Rozmus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(212) 235-2691</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Email: </w:t>
      </w:r>
      <w:r>
        <w:rPr>
          <w:rFonts w:ascii="Arial" w:cs="Arial" w:eastAsia="Arial" w:hAnsi="Arial"/>
          <w:sz w:val="16"/>
          <w:szCs w:val="16"/>
          <w:color w:val="0000FF"/>
        </w:rPr>
        <w:t>ir@innovatecorp.com</w:t>
      </w:r>
    </w:p>
    <w:sectPr>
      <w:pgSz w:w="11900" w:h="16838" w:orient="portrait"/>
      <w:cols w:equalWidth="0" w:num="1">
        <w:col w:w="11280"/>
      </w:cols>
      <w:pgMar w:left="300" w:top="1143"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1)"/>
      <w:numFmt w:val="lowerLetter"/>
      <w:start w:val="1"/>
    </w:lvl>
  </w:abstractNum>
  <w:abstractNum w:abstractNumId="3">
    <w:nsid w:val="8138641"/>
    <w:multiLevelType w:val="hybridMultilevel"/>
    <w:lvl w:ilvl="0">
      <w:lvlJc w:val="left"/>
      <w:lvlText w:val="(%1)"/>
      <w:numFmt w:val="lowerRoman"/>
      <w:start w:val="3"/>
    </w:lvl>
  </w:abstractNum>
  <w:abstractNum w:abstractNumId="4">
    <w:nsid w:val="1E7FF521"/>
    <w:multiLevelType w:val="hybridMultilevel"/>
    <w:lvl w:ilvl="0">
      <w:lvlJc w:val="left"/>
      <w:lvlText w:val="(%1)"/>
      <w:numFmt w:val="lowerRoman"/>
      <w:start w:val="4"/>
    </w:lvl>
  </w:abstractNum>
  <w:abstractNum w:abstractNumId="5">
    <w:nsid w:val="7C3DBD3D"/>
    <w:multiLevelType w:val="hybridMultilevel"/>
    <w:lvl w:ilvl="0">
      <w:lvlJc w:val="left"/>
      <w:lvlText w:val="%1"/>
      <w:numFmt w:val="lowerLetter"/>
      <w:start w:val="1"/>
    </w:lvl>
    <w:lvl w:ilvl="1">
      <w:lvlJc w:val="left"/>
      <w:lvlText w:val="(%2)"/>
      <w:numFmt w:val="lowerRoman"/>
      <w:start w:val="5"/>
    </w:lvl>
  </w:abstractNum>
  <w:abstractNum w:abstractNumId="6">
    <w:nsid w:val="737B8DDC"/>
    <w:multiLevelType w:val="hybridMultilevel"/>
    <w:lvl w:ilvl="0">
      <w:lvlJc w:val="left"/>
      <w:lvlText w:val="%1)"/>
      <w:numFmt w:val="lowerLetter"/>
      <w:start w:val="2"/>
    </w:lvl>
    <w:lvl w:ilvl="1">
      <w:lvlJc w:val="left"/>
      <w:lvlText w:val="%2"/>
      <w:numFmt w:val="lowerRoman"/>
      <w:start w:val="1"/>
    </w:lvl>
  </w:abstractNum>
  <w:abstractNum w:abstractNumId="7">
    <w:nsid w:val="6CEAF087"/>
    <w:multiLevelType w:val="hybridMultilevel"/>
    <w:lvl w:ilvl="0">
      <w:lvlJc w:val="left"/>
      <w:lvlText w:val="%1)"/>
      <w:numFmt w:val="lowerLetter"/>
      <w:start w:val="3"/>
    </w:lvl>
  </w:abstractNum>
  <w:abstractNum w:abstractNumId="8">
    <w:nsid w:val="22221A70"/>
    <w:multiLevelType w:val="hybridMultilevel"/>
    <w:lvl w:ilvl="0">
      <w:lvlJc w:val="left"/>
      <w:lvlText w:val="%1)"/>
      <w:numFmt w:val="lowerLetter"/>
      <w:start w:val="1"/>
    </w:lvl>
  </w:abstractNum>
  <w:abstractNum w:abstractNumId="9">
    <w:nsid w:val="4516DDE9"/>
    <w:multiLevelType w:val="hybridMultilevel"/>
    <w:lvl w:ilvl="0">
      <w:lvlJc w:val="left"/>
      <w:lvlText w:val="%1)"/>
      <w:numFmt w:val="lowerLetter"/>
      <w:start w:val="2"/>
    </w:lvl>
  </w:abstractNum>
  <w:abstractNum w:abstractNumId="10">
    <w:nsid w:val="3006C83E"/>
    <w:multiLevelType w:val="hybridMultilevel"/>
    <w:lvl w:ilvl="0">
      <w:lvlJc w:val="left"/>
      <w:lvlText w:val="%1)"/>
      <w:numFmt w:val="lowerLetter"/>
      <w:start w:val="1"/>
    </w:lvl>
  </w:abstractNum>
  <w:abstractNum w:abstractNumId="11">
    <w:nsid w:val="614FD4A1"/>
    <w:multiLevelType w:val="hybridMultilevel"/>
    <w:lvl w:ilvl="0">
      <w:lvlJc w:val="left"/>
      <w:lvlText w:val="(%1)"/>
      <w:numFmt w:val="lowerRoman"/>
      <w:start w:val="3"/>
    </w:lvl>
  </w:abstractNum>
  <w:abstractNum w:abstractNumId="12">
    <w:nsid w:val="419AC241"/>
    <w:multiLevelType w:val="hybridMultilevel"/>
    <w:lvl w:ilvl="0">
      <w:lvlJc w:val="left"/>
      <w:lvlText w:val="(%1)"/>
      <w:numFmt w:val="lowerRoman"/>
      <w:start w:val="4"/>
    </w:lvl>
  </w:abstractNum>
  <w:abstractNum w:abstractNumId="13">
    <w:nsid w:val="5577F8E1"/>
    <w:multiLevelType w:val="hybridMultilevel"/>
    <w:lvl w:ilvl="0">
      <w:lvlJc w:val="left"/>
      <w:lvlText w:val="%1"/>
      <w:numFmt w:val="lowerLetter"/>
      <w:start w:val="1"/>
    </w:lvl>
    <w:lvl w:ilvl="1">
      <w:lvlJc w:val="left"/>
      <w:lvlText w:val="(%2)"/>
      <w:numFmt w:val="lowerRoman"/>
      <w:start w:val="5"/>
    </w:lvl>
  </w:abstractNum>
  <w:abstractNum w:abstractNumId="14">
    <w:nsid w:val="440BADFC"/>
    <w:multiLevelType w:val="hybridMultilevel"/>
    <w:lvl w:ilvl="0">
      <w:lvlJc w:val="left"/>
      <w:lvlText w:val="%1)"/>
      <w:numFmt w:val="lowerLetter"/>
      <w:start w:val="2"/>
    </w:lvl>
    <w:lvl w:ilvl="1">
      <w:lvlJc w:val="left"/>
      <w:lvlText w:val="%2"/>
      <w:numFmt w:val="lowerRoman"/>
      <w:start w:val="1"/>
    </w:lvl>
  </w:abstractNum>
  <w:abstractNum w:abstractNumId="15">
    <w:nsid w:val="5072367"/>
    <w:multiLevelType w:val="hybridMultilevel"/>
    <w:lvl w:ilvl="0">
      <w:lvlJc w:val="left"/>
      <w:lvlText w:val="%1)"/>
      <w:numFmt w:val="lowerLetter"/>
      <w:start w:val="1"/>
    </w:lvl>
  </w:abstractNum>
  <w:abstractNum w:abstractNumId="16">
    <w:nsid w:val="3804823E"/>
    <w:multiLevelType w:val="hybridMultilevel"/>
    <w:lvl w:ilvl="0">
      <w:lvlJc w:val="left"/>
      <w:lvlText w:val="%1)"/>
      <w:numFmt w:val="lowerLetter"/>
      <w:start w:val="2"/>
    </w:lvl>
  </w:abstractNum>
  <w:abstractNum w:abstractNumId="17">
    <w:nsid w:val="77465F01"/>
    <w:multiLevelType w:val="hybridMultilevel"/>
    <w:lvl w:ilvl="0">
      <w:lvlJc w:val="left"/>
      <w:lvlText w:val="%1)"/>
      <w:numFmt w:val="lowerLetter"/>
      <w:start w:val="3"/>
    </w:lvl>
  </w:abstractNum>
  <w:abstractNum w:abstractNumId="18">
    <w:nsid w:val="7724C67E"/>
    <w:multiLevelType w:val="hybridMultilevel"/>
    <w:lvl w:ilvl="0">
      <w:lvlJc w:val="left"/>
      <w:lvlText w:val="(%1)"/>
      <w:numFmt w:val="lowerRoman"/>
      <w:start w:val="3"/>
    </w:lvl>
  </w:abstractNum>
  <w:abstractNum w:abstractNumId="19">
    <w:nsid w:val="5C482A97"/>
    <w:multiLevelType w:val="hybridMultilevel"/>
    <w:lvl w:ilvl="0">
      <w:lvlJc w:val="left"/>
      <w:lvlText w:val="(%1)"/>
      <w:numFmt w:val="lowerRoman"/>
      <w:start w:val="4"/>
    </w:lvl>
  </w:abstractNum>
  <w:abstractNum w:abstractNumId="20">
    <w:nsid w:val="2463B9EA"/>
    <w:multiLevelType w:val="hybridMultilevel"/>
    <w:lvl w:ilvl="0">
      <w:lvlJc w:val="left"/>
      <w:lvlText w:val="(%1)"/>
      <w:numFmt w:val="lowerRoman"/>
      <w:start w:val="5"/>
    </w:lvl>
  </w:abstractNum>
  <w:abstractNum w:abstractNumId="21">
    <w:nsid w:val="5E884ADC"/>
    <w:multiLevelType w:val="hybridMultilevel"/>
    <w:lvl w:ilvl="0">
      <w:lvlJc w:val="left"/>
      <w:lvlText w:val="%1)"/>
      <w:numFmt w:val="lowerLetter"/>
      <w:start w:val="2"/>
    </w:lvl>
  </w:abstractNum>
  <w:abstractNum w:abstractNumId="22">
    <w:nsid w:val="51EAD36B"/>
    <w:multiLevelType w:val="hybridMultilevel"/>
    <w:lvl w:ilvl="0">
      <w:lvlJc w:val="left"/>
      <w:lvlText w:val="(%1)"/>
      <w:numFmt w:val="lowerLetter"/>
      <w:start w:val="1"/>
    </w:lvl>
  </w:abstractNum>
  <w:abstractNum w:abstractNumId="23">
    <w:nsid w:val="2D517796"/>
    <w:multiLevelType w:val="hybridMultilevel"/>
    <w:lvl w:ilvl="0">
      <w:lvlJc w:val="left"/>
      <w:lvlText w:val="(%1)"/>
      <w:numFmt w:val="lowerLetter"/>
      <w:start w:val="1"/>
    </w:lvl>
  </w:abstractNum>
  <w:abstractNum w:abstractNumId="24">
    <w:nsid w:val="580BD78F"/>
    <w:multiLevelType w:val="hybridMultilevel"/>
    <w:lvl w:ilvl="0">
      <w:lvlJc w:val="left"/>
      <w:lvlText w:val="(%1)"/>
      <w:numFmt w:val="lowerLetter"/>
      <w:start w:val="2"/>
    </w:lvl>
  </w:abstractNum>
  <w:abstractNum w:abstractNumId="25">
    <w:nsid w:val="153EA438"/>
    <w:multiLevelType w:val="hybridMultilevel"/>
    <w:lvl w:ilvl="0">
      <w:lvlJc w:val="left"/>
      <w:lvlText w:val="(%1)"/>
      <w:numFmt w:val="lowerLetter"/>
      <w:start w:val="1"/>
    </w:lvl>
  </w:abstractNum>
  <w:abstractNum w:abstractNumId="26">
    <w:nsid w:val="3855585C"/>
    <w:multiLevelType w:val="hybridMultilevel"/>
    <w:lvl w:ilvl="0">
      <w:lvlJc w:val="left"/>
      <w:lvlText w:val="(%1)"/>
      <w:numFmt w:val="lowerLetter"/>
      <w:start w:val="2"/>
    </w:lvl>
  </w:abstractNum>
  <w:abstractNum w:abstractNumId="27">
    <w:nsid w:val="70A64E2A"/>
    <w:multiLevelType w:val="hybridMultilevel"/>
    <w:lvl w:ilvl="0">
      <w:lvlJc w:val="left"/>
      <w:lvlText w:val="(%1)"/>
      <w:numFmt w:val="lowerLetter"/>
      <w:start w:val="1"/>
    </w:lvl>
  </w:abstractNum>
  <w:abstractNum w:abstractNumId="28">
    <w:nsid w:val="6A2342EC"/>
    <w:multiLevelType w:val="hybridMultilevel"/>
    <w:lvl w:ilvl="0">
      <w:lvlJc w:val="left"/>
      <w:lvlText w:val="(%1)"/>
      <w:numFmt w:val="lowerLetter"/>
      <w:start w:val="2"/>
    </w:lvl>
    <w:lvl w:ilvl="1">
      <w:lvlJc w:val="left"/>
      <w:lvlText w:val="*"/>
      <w:numFmt w:val="bullet"/>
      <w:start w:val="1"/>
    </w:lvl>
  </w:abstractNum>
  <w:abstractNum w:abstractNumId="29">
    <w:nsid w:val="2A487CB0"/>
    <w:multiLevelType w:val="hybridMultilevel"/>
    <w:lvl w:ilvl="0">
      <w:lvlJc w:val="left"/>
      <w:lvlText w:val="%1."/>
      <w:numFmt w:val="decimal"/>
      <w:start w:val="1"/>
    </w:lvl>
    <w:lvl w:ilvl="1">
      <w:lvlJc w:val="left"/>
      <w:lvlText w:val="(%2)"/>
      <w:numFmt w:val="lowerLetter"/>
      <w:start w:val="1"/>
    </w:lvl>
  </w:abstractNum>
  <w:abstractNum w:abstractNumId="30">
    <w:nsid w:val="1D4ED43B"/>
    <w:multiLevelType w:val="hybridMultilevel"/>
    <w:lvl w:ilvl="0">
      <w:lvlJc w:val="left"/>
      <w:lvlText w:val="(%1)"/>
      <w:numFmt w:val="lowerRoman"/>
      <w:start w:val="1"/>
    </w:lvl>
    <w:lvl w:ilvl="1">
      <w:lvlJc w:val="left"/>
      <w:lvlText w:val="(%2)"/>
      <w:numFmt w:val="upperLetter"/>
      <w:start w:val="1"/>
    </w:lvl>
  </w:abstractNum>
  <w:abstractNum w:abstractNumId="31">
    <w:nsid w:val="725A06FB"/>
    <w:multiLevelType w:val="hybridMultilevel"/>
    <w:lvl w:ilvl="0">
      <w:lvlJc w:val="left"/>
      <w:lvlText w:val="%1"/>
      <w:numFmt w:val="lowerRoman"/>
      <w:start w:val="1"/>
    </w:lvl>
    <w:lvl w:ilvl="1">
      <w:lvlJc w:val="left"/>
      <w:lvlText w:val="(%2)"/>
      <w:numFmt w:val="upperLetter"/>
      <w:start w:val="4"/>
    </w:lvl>
  </w:abstractNum>
  <w:abstractNum w:abstractNumId="32">
    <w:nsid w:val="2CD89A32"/>
    <w:multiLevelType w:val="hybridMultilevel"/>
    <w:lvl w:ilvl="0">
      <w:lvlJc w:val="left"/>
      <w:lvlText w:val="(%1)"/>
      <w:numFmt w:val="lowerRoman"/>
      <w:start w:val="4"/>
    </w:lvl>
    <w:lvl w:ilvl="1">
      <w:lvlJc w:val="left"/>
      <w:lvlText w:val="%2"/>
      <w:numFmt w:val="upperLetter"/>
      <w:start w:val="1"/>
    </w:lvl>
  </w:abstractNum>
  <w:abstractNum w:abstractNumId="33">
    <w:nsid w:val="57E4CCAF"/>
    <w:multiLevelType w:val="hybridMultilevel"/>
    <w:lvl w:ilvl="0">
      <w:lvlJc w:val="left"/>
      <w:lvlText w:val="(%1)"/>
      <w:numFmt w:val="lowerLetter"/>
      <w:start w:val="3"/>
    </w:lvl>
    <w:lvl w:ilvl="1">
      <w:lvlJc w:val="left"/>
      <w:lvlText w:val="(%2)"/>
      <w:numFmt w:val="lowerRoman"/>
      <w:start w:val="1"/>
    </w:lvl>
  </w:abstractNum>
  <w:abstractNum w:abstractNumId="34">
    <w:nsid w:val="7A6D8D3C"/>
    <w:multiLevelType w:val="hybridMultilevel"/>
    <w:lvl w:ilvl="0">
      <w:lvlJc w:val="left"/>
      <w:lvlText w:val="%1"/>
      <w:numFmt w:val="decimal"/>
      <w:start w:val="1"/>
    </w:lvl>
    <w:lvl w:ilvl="1">
      <w:lvlJc w:val="left"/>
      <w:lvlText w:val="(%2)"/>
      <w:numFmt w:val="lowerLetter"/>
      <w:start w:val="6"/>
    </w:lvl>
  </w:abstractNum>
  <w:abstractNum w:abstractNumId="35">
    <w:nsid w:val="4B588F54"/>
    <w:multiLevelType w:val="hybridMultilevel"/>
    <w:lvl w:ilvl="0">
      <w:lvlJc w:val="left"/>
      <w:lvlText w:val="%1."/>
      <w:numFmt w:val="decimal"/>
      <w:start w:val="2"/>
    </w:lvl>
    <w:lvl w:ilvl="1">
      <w:lvlJc w:val="left"/>
      <w:lvlText w:val="(%2)"/>
      <w:numFmt w:val="lowerLetter"/>
      <w:start w:val="1"/>
    </w:lvl>
  </w:abstractNum>
  <w:abstractNum w:abstractNumId="36">
    <w:nsid w:val="542289E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7">
    <w:nsid w:val="6DE91B18"/>
    <w:multiLevelType w:val="hybridMultilevel"/>
    <w:lvl w:ilvl="0">
      <w:lvlJc w:val="left"/>
      <w:lvlText w:val="(%1)"/>
      <w:numFmt w:val="upperLetter"/>
      <w:start w:val="2"/>
    </w:lvl>
  </w:abstractNum>
  <w:abstractNum w:abstractNumId="38">
    <w:nsid w:val="38437FDB"/>
    <w:multiLevelType w:val="hybridMultilevel"/>
    <w:lvl w:ilvl="0">
      <w:lvlJc w:val="left"/>
      <w:lvlText w:val="%1"/>
      <w:numFmt w:val="lowerRoman"/>
      <w:start w:val="1"/>
    </w:lvl>
    <w:lvl w:ilvl="1">
      <w:lvlJc w:val="left"/>
      <w:lvlText w:val="(%2)"/>
      <w:numFmt w:val="upperLetter"/>
      <w:start w:val="12"/>
    </w:lvl>
  </w:abstractNum>
  <w:abstractNum w:abstractNumId="39">
    <w:nsid w:val="7644A45C"/>
    <w:multiLevelType w:val="hybridMultilevel"/>
    <w:lvl w:ilvl="0">
      <w:lvlJc w:val="left"/>
      <w:lvlText w:val="(%1)"/>
      <w:numFmt w:val="lowerRoman"/>
      <w:start w:val="2"/>
    </w:lvl>
    <w:lvl w:ilvl="1">
      <w:lvlJc w:val="left"/>
      <w:lvlText w:val="(%2)"/>
      <w:numFmt w:val="upperLetter"/>
      <w:start w:val="1"/>
    </w:lvl>
  </w:abstractNum>
  <w:abstractNum w:abstractNumId="40">
    <w:nsid w:val="32FFF902"/>
    <w:multiLevelType w:val="hybridMultilevel"/>
    <w:lvl w:ilvl="0">
      <w:lvlJc w:val="left"/>
      <w:lvlText w:val="%1"/>
      <w:numFmt w:val="lowerLetter"/>
      <w:start w:val="1"/>
    </w:lvl>
    <w:lvl w:ilvl="1">
      <w:lvlJc w:val="left"/>
      <w:lvlText w:val="(%2)"/>
      <w:numFmt w:val="upperLetter"/>
      <w:start w:val="4"/>
    </w:lvl>
  </w:abstractNum>
  <w:abstractNum w:abstractNumId="41">
    <w:nsid w:val="684A481A"/>
    <w:multiLevelType w:val="hybridMultilevel"/>
    <w:lvl w:ilvl="0">
      <w:lvlJc w:val="left"/>
      <w:lvlText w:val="(%1)"/>
      <w:numFmt w:val="lowerLetter"/>
      <w:start w:val="5"/>
    </w:lvl>
    <w:lvl w:ilvl="1">
      <w:lvlJc w:val="left"/>
      <w:lvlText w:val="%2"/>
      <w:numFmt w:val="upperLetter"/>
      <w:start w:val="1"/>
    </w:lvl>
  </w:abstractNum>
  <w:abstractNum w:abstractNumId="42">
    <w:nsid w:val="579478FE"/>
    <w:multiLevelType w:val="hybridMultilevel"/>
    <w:lvl w:ilvl="0">
      <w:lvlJc w:val="left"/>
      <w:lvlText w:val="%1"/>
      <w:numFmt w:val="lowerLetter"/>
      <w:start w:val="1"/>
    </w:lvl>
    <w:lvl w:ilvl="1">
      <w:lvlJc w:val="left"/>
      <w:lvlText w:val="%2."/>
      <w:numFmt w:val="decimal"/>
      <w:start w:val="4"/>
    </w:lvl>
  </w:abstractNum>
  <w:abstractNum w:abstractNumId="43">
    <w:nsid w:val="749ABB43"/>
    <w:multiLevelType w:val="hybridMultilevel"/>
    <w:lvl w:ilvl="0">
      <w:lvlJc w:val="left"/>
      <w:lvlText w:val="(%1)"/>
      <w:numFmt w:val="lowerLetter"/>
      <w:start w:val="3"/>
    </w:lvl>
    <w:lvl w:ilvl="1">
      <w:lvlJc w:val="left"/>
      <w:lvlText w:val="%2"/>
      <w:numFmt w:val="decimal"/>
      <w:start w:val="1"/>
    </w:lvl>
  </w:abstractNum>
  <w:abstractNum w:abstractNumId="44">
    <w:nsid w:val="3DC240FB"/>
    <w:multiLevelType w:val="hybridMultilevel"/>
    <w:lvl w:ilvl="0">
      <w:lvlJc w:val="left"/>
      <w:lvlText w:val="%1."/>
      <w:numFmt w:val="decimal"/>
      <w:start w:val="6"/>
    </w:lvl>
  </w:abstractNum>
  <w:abstractNum w:abstractNumId="45">
    <w:nsid w:val="1BA026FA"/>
    <w:multiLevelType w:val="hybridMultilevel"/>
    <w:lvl w:ilvl="0">
      <w:lvlJc w:val="left"/>
      <w:lvlText w:val="%1."/>
      <w:numFmt w:val="decimal"/>
      <w:start w:val="7"/>
    </w:lvl>
  </w:abstractNum>
  <w:abstractNum w:abstractNumId="46">
    <w:nsid w:val="79A1DEAA"/>
    <w:multiLevelType w:val="hybridMultilevel"/>
    <w:lvl w:ilvl="0">
      <w:lvlJc w:val="left"/>
      <w:lvlText w:val="%1"/>
      <w:numFmt w:val="lowerRoman"/>
      <w:start w:val="1"/>
    </w:lvl>
    <w:lvl w:ilvl="1">
      <w:lvlJc w:val="left"/>
      <w:lvlText w:val="%2."/>
      <w:numFmt w:val="decimal"/>
      <w:start w:val="12"/>
    </w:lvl>
  </w:abstractNum>
  <w:abstractNum w:abstractNumId="47">
    <w:nsid w:val="75C6C33A"/>
    <w:multiLevelType w:val="hybridMultilevel"/>
    <w:lvl w:ilvl="0">
      <w:lvlJc w:val="left"/>
      <w:lvlText w:val="(%1)"/>
      <w:numFmt w:val="lowerRoman"/>
      <w:start w:val="4"/>
    </w:lvl>
    <w:lvl w:ilvl="1">
      <w:lvlJc w:val="left"/>
      <w:lvlText w:val="%2"/>
      <w:numFmt w:val="decimal"/>
      <w:start w:val="1"/>
    </w:lvl>
  </w:abstractNum>
  <w:abstractNum w:abstractNumId="48">
    <w:nsid w:val="12E685FB"/>
    <w:multiLevelType w:val="hybridMultilevel"/>
    <w:lvl w:ilvl="0">
      <w:lvlJc w:val="left"/>
      <w:lvlText w:val="%1."/>
      <w:numFmt w:val="decimal"/>
      <w:start w:val="14"/>
    </w:lvl>
  </w:abstractNum>
  <w:abstractNum w:abstractNumId="49">
    <w:nsid w:val="70C6A529"/>
    <w:multiLevelType w:val="hybridMultilevel"/>
    <w:lvl w:ilvl="0">
      <w:lvlJc w:val="left"/>
      <w:lvlText w:val="%1."/>
      <w:numFmt w:val="decimal"/>
      <w:start w:val="1"/>
    </w:lvl>
  </w:abstractNum>
  <w:abstractNum w:abstractNumId="50">
    <w:nsid w:val="520EEDD1"/>
    <w:multiLevelType w:val="hybridMultilevel"/>
    <w:lvl w:ilvl="0">
      <w:lvlJc w:val="left"/>
      <w:lvlText w:val="%1."/>
      <w:numFmt w:val="decimal"/>
      <w:start w:val="1"/>
    </w:lvl>
  </w:abstractNum>
  <w:abstractNum w:abstractNumId="51">
    <w:nsid w:val="374A3FE6"/>
    <w:multiLevelType w:val="hybridMultilevel"/>
    <w:lvl w:ilvl="0">
      <w:lvlJc w:val="left"/>
      <w:lvlText w:val="%1."/>
      <w:numFmt w:val="decimal"/>
      <w:start w:val="4"/>
    </w:lvl>
  </w:abstractNum>
  <w:abstractNum w:abstractNumId="52">
    <w:nsid w:val="4F4EF005"/>
    <w:multiLevelType w:val="hybridMultilevel"/>
    <w:lvl w:ilvl="0">
      <w:lvlJc w:val="left"/>
      <w:lvlText w:val="%1."/>
      <w:numFmt w:val="decimal"/>
      <w:start w:val="6"/>
    </w:lvl>
  </w:abstractNum>
  <w:abstractNum w:abstractNumId="53">
    <w:nsid w:val="23F9C13C"/>
    <w:multiLevelType w:val="hybridMultilevel"/>
    <w:lvl w:ilvl="0">
      <w:lvlJc w:val="left"/>
      <w:lvlText w:val="•"/>
      <w:numFmt w:val="bullet"/>
      <w:start w:val="1"/>
    </w:lvl>
    <w:lvl w:ilvl="1">
      <w:lvlJc w:val="left"/>
      <w:lvlText w:val="•"/>
      <w:numFmt w:val="bullet"/>
      <w:start w:val="1"/>
    </w:lvl>
  </w:abstractNum>
  <w:abstractNum w:abstractNumId="54">
    <w:nsid w:val="649BB77C"/>
    <w:multiLevelType w:val="hybridMultilevel"/>
    <w:lvl w:ilvl="0">
      <w:lvlJc w:val="left"/>
      <w:lvlText w:val="•"/>
      <w:numFmt w:val="bullet"/>
      <w:start w:val="1"/>
    </w:lvl>
    <w:lvl w:ilvl="1">
      <w:lvlJc w:val="left"/>
      <w:lvlText w:val="•"/>
      <w:numFmt w:val="bullet"/>
      <w:start w:val="1"/>
    </w:lvl>
  </w:abstractNum>
  <w:abstractNum w:abstractNumId="55">
    <w:nsid w:val="275AC794"/>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jpe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jpe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jpe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jpe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jpe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jpe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jpe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jpe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jpe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jpe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2026-06-01T07:56:55Z</dcterms:created>
  <dcterms:modified xsi:type="dcterms:W3CDTF">2026-06-01T07:56:55Z</dcterms:modified>
</cp:coreProperties>
</file>