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46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June 11, 2026</w:t>
            </w:r>
          </w:p>
        </w:tc>
      </w:tr>
      <w:tr>
        <w:trPr>
          <w:trHeight w:val="740"/>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80" w:type="dxa"/>
            <w:vAlign w:val="bottom"/>
            <w:gridSpan w:val="6"/>
          </w:tcPr>
          <w:p>
            <w:pPr>
              <w:jc w:val="center"/>
              <w:ind w:left="1254"/>
              <w:spacing w:after="0"/>
              <w:rPr>
                <w:sz w:val="20"/>
                <w:szCs w:val="20"/>
                <w:color w:val="auto"/>
              </w:rPr>
            </w:pPr>
            <w:r>
              <w:rPr>
                <w:rFonts w:ascii="Times New Roman" w:cs="Times New Roman" w:eastAsia="Times New Roman" w:hAnsi="Times New Roman"/>
                <w:sz w:val="32"/>
                <w:szCs w:val="32"/>
                <w:b w:val="1"/>
                <w:bCs w:val="1"/>
                <w:color w:val="auto"/>
                <w:w w:val="98"/>
              </w:rPr>
              <w:t>INNOVATE CORP.®</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7"/>
        </w:trPr>
        <w:tc>
          <w:tcPr>
            <w:tcW w:w="1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311"/>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80" w:type="dxa"/>
            <w:vAlign w:val="bottom"/>
            <w:gridSpan w:val="6"/>
          </w:tcPr>
          <w:p>
            <w:pPr>
              <w:jc w:val="center"/>
              <w:ind w:left="123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60" w:type="dxa"/>
            <w:vAlign w:val="bottom"/>
            <w:gridSpan w:val="4"/>
          </w:tcPr>
          <w:p>
            <w:pPr>
              <w:jc w:val="center"/>
              <w:ind w:right="1680"/>
              <w:spacing w:after="0"/>
              <w:rPr>
                <w:sz w:val="20"/>
                <w:szCs w:val="20"/>
                <w:color w:val="auto"/>
              </w:rPr>
            </w:pPr>
            <w:r>
              <w:rPr>
                <w:rFonts w:ascii="Times New Roman" w:cs="Times New Roman" w:eastAsia="Times New Roman" w:hAnsi="Times New Roman"/>
                <w:sz w:val="18"/>
                <w:szCs w:val="18"/>
                <w:color w:val="auto"/>
                <w:w w:val="99"/>
              </w:rPr>
              <w:t>001-35210</w:t>
            </w:r>
          </w:p>
        </w:tc>
        <w:tc>
          <w:tcPr>
            <w:tcW w:w="35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color w:val="auto"/>
              </w:rPr>
              <w:t>54-1708481</w:t>
            </w:r>
          </w:p>
        </w:tc>
      </w:tr>
      <w:tr>
        <w:trPr>
          <w:trHeight w:val="20"/>
        </w:trPr>
        <w:tc>
          <w:tcPr>
            <w:tcW w:w="1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0"/>
        </w:trPr>
        <w:tc>
          <w:tcPr>
            <w:tcW w:w="4620" w:type="dxa"/>
            <w:vAlign w:val="bottom"/>
            <w:gridSpan w:val="3"/>
          </w:tcPr>
          <w:p>
            <w:pPr>
              <w:jc w:val="center"/>
              <w:ind w:right="794"/>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060" w:type="dxa"/>
            <w:vAlign w:val="bottom"/>
            <w:gridSpan w:val="5"/>
          </w:tcPr>
          <w:p>
            <w:pPr>
              <w:jc w:val="center"/>
              <w:ind w:right="10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33"/>
        </w:trPr>
        <w:tc>
          <w:tcPr>
            <w:tcW w:w="1500" w:type="dxa"/>
            <w:vAlign w:val="bottom"/>
          </w:tcPr>
          <w:p>
            <w:pPr>
              <w:spacing w:after="0"/>
              <w:rPr>
                <w:sz w:val="24"/>
                <w:szCs w:val="24"/>
                <w:color w:val="auto"/>
              </w:rPr>
            </w:pPr>
          </w:p>
        </w:tc>
        <w:tc>
          <w:tcPr>
            <w:tcW w:w="3120" w:type="dxa"/>
            <w:vAlign w:val="bottom"/>
            <w:gridSpan w:val="2"/>
          </w:tcPr>
          <w:p>
            <w:pPr>
              <w:jc w:val="center"/>
              <w:ind w:right="594"/>
              <w:spacing w:after="0"/>
              <w:rPr>
                <w:sz w:val="20"/>
                <w:szCs w:val="20"/>
                <w:color w:val="auto"/>
              </w:rPr>
            </w:pPr>
            <w:r>
              <w:rPr>
                <w:rFonts w:ascii="Times New Roman" w:cs="Times New Roman" w:eastAsia="Times New Roman" w:hAnsi="Times New Roman"/>
                <w:sz w:val="18"/>
                <w:szCs w:val="18"/>
                <w:color w:val="auto"/>
                <w:w w:val="99"/>
              </w:rPr>
              <w:t>295 Madison Ave, 12th Fl</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1"/>
        </w:trPr>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center"/>
              <w:ind w:right="574"/>
              <w:spacing w:after="0"/>
              <w:rPr>
                <w:sz w:val="20"/>
                <w:szCs w:val="20"/>
                <w:color w:val="auto"/>
              </w:rPr>
            </w:pPr>
            <w:r>
              <w:rPr>
                <w:rFonts w:ascii="Times New Roman" w:cs="Times New Roman" w:eastAsia="Times New Roman" w:hAnsi="Times New Roman"/>
                <w:sz w:val="18"/>
                <w:szCs w:val="18"/>
                <w:color w:val="auto"/>
                <w:w w:val="99"/>
              </w:rPr>
              <w:t>New York, NY</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left="349"/>
              <w:spacing w:after="0"/>
              <w:rPr>
                <w:sz w:val="20"/>
                <w:szCs w:val="20"/>
                <w:color w:val="auto"/>
              </w:rPr>
            </w:pPr>
            <w:r>
              <w:rPr>
                <w:rFonts w:ascii="Times New Roman" w:cs="Times New Roman" w:eastAsia="Times New Roman" w:hAnsi="Times New Roman"/>
                <w:sz w:val="18"/>
                <w:szCs w:val="18"/>
                <w:color w:val="auto"/>
              </w:rPr>
              <w:t>10017</w:t>
            </w:r>
          </w:p>
        </w:tc>
        <w:tc>
          <w:tcPr>
            <w:tcW w:w="8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34"/>
        </w:trPr>
        <w:tc>
          <w:tcPr>
            <w:tcW w:w="46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56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46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(212) 235-2691</w:t>
            </w:r>
          </w:p>
        </w:tc>
        <w:tc>
          <w:tcPr>
            <w:tcW w:w="1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500" w:hanging="42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500" w:hanging="42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500" w:hanging="42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500" w:hanging="42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2"/>
          <w:szCs w:val="12"/>
          <w:b w:val="1"/>
          <w:bCs w:val="1"/>
          <w:color w:val="auto"/>
        </w:rPr>
        <w: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$0.001 per share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8"/>
              </w:rPr>
              <w:t>VATE</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New York Stock Exchange</w:t>
            </w:r>
          </w:p>
        </w:tc>
      </w:tr>
      <w:tr>
        <w:trPr>
          <w:trHeight w:val="19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Preferred Stock Purchase Rights</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New York Stock Exchange</w:t>
            </w:r>
          </w:p>
        </w:tc>
      </w:tr>
    </w:tbl>
    <w:p>
      <w:pPr>
        <w:spacing w:after="0" w:line="306"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20"/>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26" w:lineRule="exact"/>
        <w:rPr>
          <w:sz w:val="24"/>
          <w:szCs w:val="24"/>
          <w:color w:val="auto"/>
        </w:rPr>
      </w:pPr>
    </w:p>
    <w:p>
      <w:pPr>
        <w:ind w:left="20" w:right="20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99" w:right="319" w:bottom="1440" w:gutter="0" w:footer="0" w:header="0"/>
        </w:sectPr>
      </w:pPr>
    </w:p>
    <w:bookmarkStart w:id="1" w:name="page2"/>
    <w:bookmarkEnd w:id="1"/>
    <w:p>
      <w:pPr>
        <w:ind w:left="2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Item 5.07</w:t>
      </w:r>
      <w:r>
        <w:rPr>
          <w:sz w:val="20"/>
          <w:szCs w:val="20"/>
          <w:color w:val="auto"/>
        </w:rPr>
        <w:tab/>
      </w:r>
      <w:r>
        <w:rPr>
          <w:rFonts w:ascii="Times New Roman" w:cs="Times New Roman" w:eastAsia="Times New Roman" w:hAnsi="Times New Roman"/>
          <w:sz w:val="21"/>
          <w:szCs w:val="21"/>
          <w:b w:val="1"/>
          <w:bCs w:val="1"/>
          <w:color w:val="auto"/>
        </w:rPr>
        <w:t>Submission of Matters to a Vote of Security Holders</w:t>
      </w:r>
    </w:p>
    <w:p>
      <w:pPr>
        <w:spacing w:after="0" w:line="3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Annual Meeting of Stockholders (the “Annual Meeting”) of the Company was held on June 11, 2026. The final voting results for each of the matters submitted to a vote of stockholders at the Annual Meeting are as follows:</w:t>
      </w:r>
    </w:p>
    <w:p>
      <w:pPr>
        <w:spacing w:after="0" w:line="208" w:lineRule="exact"/>
        <w:rPr>
          <w:sz w:val="20"/>
          <w:szCs w:val="20"/>
          <w:color w:val="auto"/>
        </w:rPr>
      </w:pPr>
    </w:p>
    <w:p>
      <w:pPr>
        <w:ind w:left="6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Proposal 1:</w:t>
      </w:r>
      <w:r>
        <w:rPr>
          <w:sz w:val="20"/>
          <w:szCs w:val="20"/>
          <w:color w:val="auto"/>
        </w:rPr>
        <w:tab/>
      </w:r>
      <w:r>
        <w:rPr>
          <w:rFonts w:ascii="Times New Roman" w:cs="Times New Roman" w:eastAsia="Times New Roman" w:hAnsi="Times New Roman"/>
          <w:sz w:val="21"/>
          <w:szCs w:val="21"/>
          <w:b w:val="1"/>
          <w:bCs w:val="1"/>
          <w:color w:val="auto"/>
        </w:rPr>
        <w:t>Election of Directors</w:t>
      </w:r>
    </w:p>
    <w:p>
      <w:pPr>
        <w:spacing w:after="0" w:line="39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stockholders voted to elect the following four nominees as members of the Board of Directors of the Company, each to hold office until the Company’s 2027 Annual Meeting of Stockholders and until his or her successor is duly elected and qualified. The results of the vote were as follows:</w:t>
      </w: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2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Director Name</w:t>
            </w: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3"/>
              </w:rPr>
              <w:t>For</w:t>
            </w:r>
          </w:p>
        </w:tc>
        <w:tc>
          <w:tcPr>
            <w:tcW w:w="2100" w:type="dxa"/>
            <w:vAlign w:val="bottom"/>
            <w:gridSpan w:val="2"/>
          </w:tcPr>
          <w:p>
            <w:pPr>
              <w:ind w:left="560"/>
              <w:spacing w:after="0"/>
              <w:rPr>
                <w:sz w:val="20"/>
                <w:szCs w:val="20"/>
                <w:color w:val="auto"/>
              </w:rPr>
            </w:pPr>
            <w:r>
              <w:rPr>
                <w:rFonts w:ascii="Times New Roman" w:cs="Times New Roman" w:eastAsia="Times New Roman" w:hAnsi="Times New Roman"/>
                <w:sz w:val="22"/>
                <w:szCs w:val="22"/>
                <w:b w:val="1"/>
                <w:bCs w:val="1"/>
                <w:color w:val="auto"/>
              </w:rPr>
              <w:t>Against</w:t>
            </w:r>
          </w:p>
        </w:tc>
        <w:tc>
          <w:tcPr>
            <w:tcW w:w="2120" w:type="dxa"/>
            <w:vAlign w:val="bottom"/>
            <w:gridSpan w:val="2"/>
          </w:tcPr>
          <w:p>
            <w:pPr>
              <w:ind w:left="560"/>
              <w:spacing w:after="0"/>
              <w:rPr>
                <w:sz w:val="20"/>
                <w:szCs w:val="20"/>
                <w:color w:val="auto"/>
              </w:rPr>
            </w:pPr>
            <w:r>
              <w:rPr>
                <w:rFonts w:ascii="Times New Roman" w:cs="Times New Roman" w:eastAsia="Times New Roman" w:hAnsi="Times New Roman"/>
                <w:sz w:val="22"/>
                <w:szCs w:val="22"/>
                <w:b w:val="1"/>
                <w:bCs w:val="1"/>
                <w:color w:val="auto"/>
              </w:rPr>
              <w:t>Abstain</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304"/>
        </w:trPr>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Avram A. Glazer</w:t>
            </w:r>
          </w:p>
        </w:tc>
        <w:tc>
          <w:tcPr>
            <w:tcW w:w="1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8,983,029</w:t>
            </w:r>
          </w:p>
        </w:tc>
        <w:tc>
          <w:tcPr>
            <w:tcW w:w="280" w:type="dxa"/>
            <w:vAlign w:val="bottom"/>
            <w:tcBorders>
              <w:top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22"/>
                <w:szCs w:val="22"/>
                <w:color w:val="auto"/>
              </w:rPr>
              <w:t>374,259</w:t>
            </w:r>
          </w:p>
        </w:tc>
        <w:tc>
          <w:tcPr>
            <w:tcW w:w="280" w:type="dxa"/>
            <w:vAlign w:val="bottom"/>
            <w:tcBorders>
              <w:top w:val="single" w:sz="8" w:color="auto"/>
            </w:tcBorders>
          </w:tcPr>
          <w:p>
            <w:pPr>
              <w:spacing w:after="0"/>
              <w:rPr>
                <w:sz w:val="24"/>
                <w:szCs w:val="24"/>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7,008</w:t>
            </w:r>
          </w:p>
        </w:tc>
        <w:tc>
          <w:tcPr>
            <w:tcW w:w="280" w:type="dxa"/>
            <w:vAlign w:val="bottom"/>
          </w:tcPr>
          <w:p>
            <w:pPr>
              <w:spacing w:after="0"/>
              <w:rPr>
                <w:sz w:val="24"/>
                <w:szCs w:val="24"/>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w:t>
            </w:r>
          </w:p>
        </w:tc>
      </w:tr>
      <w:tr>
        <w:trPr>
          <w:trHeight w:val="304"/>
        </w:trPr>
        <w:tc>
          <w:tcPr>
            <w:tcW w:w="2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Warren H. Gfeller</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8,951,178</w:t>
            </w:r>
          </w:p>
        </w:tc>
        <w:tc>
          <w:tcPr>
            <w:tcW w:w="280" w:type="dxa"/>
            <w:vAlign w:val="bottom"/>
          </w:tcPr>
          <w:p>
            <w:pPr>
              <w:spacing w:after="0"/>
              <w:rPr>
                <w:sz w:val="24"/>
                <w:szCs w:val="24"/>
                <w:color w:val="auto"/>
              </w:rPr>
            </w:pPr>
          </w:p>
        </w:tc>
        <w:tc>
          <w:tcPr>
            <w:tcW w:w="1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2"/>
                <w:szCs w:val="22"/>
                <w:color w:val="auto"/>
              </w:rPr>
              <w:t>404,999</w:t>
            </w:r>
          </w:p>
        </w:tc>
        <w:tc>
          <w:tcPr>
            <w:tcW w:w="28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8,119</w:t>
            </w:r>
          </w:p>
        </w:tc>
        <w:tc>
          <w:tcPr>
            <w:tcW w:w="28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w:t>
            </w:r>
          </w:p>
        </w:tc>
      </w:tr>
      <w:tr>
        <w:trPr>
          <w:trHeight w:val="304"/>
        </w:trPr>
        <w:tc>
          <w:tcPr>
            <w:tcW w:w="2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Brian S. Goldstein</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9,036,379</w:t>
            </w:r>
          </w:p>
        </w:tc>
        <w:tc>
          <w:tcPr>
            <w:tcW w:w="280" w:type="dxa"/>
            <w:vAlign w:val="bottom"/>
          </w:tcPr>
          <w:p>
            <w:pPr>
              <w:spacing w:after="0"/>
              <w:rPr>
                <w:sz w:val="24"/>
                <w:szCs w:val="24"/>
                <w:color w:val="auto"/>
              </w:rPr>
            </w:pPr>
          </w:p>
        </w:tc>
        <w:tc>
          <w:tcPr>
            <w:tcW w:w="1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2"/>
                <w:szCs w:val="22"/>
                <w:color w:val="auto"/>
              </w:rPr>
              <w:t>315,691</w:t>
            </w:r>
          </w:p>
        </w:tc>
        <w:tc>
          <w:tcPr>
            <w:tcW w:w="28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12,226</w:t>
            </w:r>
          </w:p>
        </w:tc>
        <w:tc>
          <w:tcPr>
            <w:tcW w:w="28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w:t>
            </w:r>
          </w:p>
        </w:tc>
      </w:tr>
      <w:tr>
        <w:trPr>
          <w:trHeight w:val="304"/>
        </w:trPr>
        <w:tc>
          <w:tcPr>
            <w:tcW w:w="2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Amy M. Wilkinson</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9,041,451</w:t>
            </w:r>
          </w:p>
        </w:tc>
        <w:tc>
          <w:tcPr>
            <w:tcW w:w="280" w:type="dxa"/>
            <w:vAlign w:val="bottom"/>
          </w:tcPr>
          <w:p>
            <w:pPr>
              <w:spacing w:after="0"/>
              <w:rPr>
                <w:sz w:val="24"/>
                <w:szCs w:val="24"/>
                <w:color w:val="auto"/>
              </w:rPr>
            </w:pPr>
          </w:p>
        </w:tc>
        <w:tc>
          <w:tcPr>
            <w:tcW w:w="1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2"/>
                <w:szCs w:val="22"/>
                <w:color w:val="auto"/>
              </w:rPr>
              <w:t>314,727</w:t>
            </w:r>
          </w:p>
        </w:tc>
        <w:tc>
          <w:tcPr>
            <w:tcW w:w="28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8,118</w:t>
            </w:r>
          </w:p>
        </w:tc>
        <w:tc>
          <w:tcPr>
            <w:tcW w:w="28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w:t>
            </w:r>
          </w:p>
        </w:tc>
      </w:tr>
    </w:tbl>
    <w:p>
      <w:pPr>
        <w:spacing w:after="0" w:line="324" w:lineRule="exact"/>
        <w:rPr>
          <w:sz w:val="20"/>
          <w:szCs w:val="20"/>
          <w:color w:val="auto"/>
        </w:rPr>
      </w:pPr>
    </w:p>
    <w:p>
      <w:pPr>
        <w:ind w:left="68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Proposal 2:</w:t>
        <w:tab/>
        <w:t>Approval, on a non-binding, advisory basis, of the compensation of the</w:t>
      </w:r>
    </w:p>
    <w:p>
      <w:pPr>
        <w:ind w:left="1920"/>
        <w:spacing w:after="0"/>
        <w:rPr>
          <w:sz w:val="20"/>
          <w:szCs w:val="20"/>
          <w:color w:val="auto"/>
        </w:rPr>
      </w:pPr>
      <w:r>
        <w:rPr>
          <w:rFonts w:ascii="Times New Roman" w:cs="Times New Roman" w:eastAsia="Times New Roman" w:hAnsi="Times New Roman"/>
          <w:sz w:val="22"/>
          <w:szCs w:val="22"/>
          <w:b w:val="1"/>
          <w:bCs w:val="1"/>
          <w:color w:val="auto"/>
        </w:rPr>
        <w:t>Company's named executive officers (“</w:t>
      </w:r>
      <w:r>
        <w:rPr>
          <w:rFonts w:ascii="Times New Roman" w:cs="Times New Roman" w:eastAsia="Times New Roman" w:hAnsi="Times New Roman"/>
          <w:sz w:val="22"/>
          <w:szCs w:val="22"/>
          <w:b w:val="1"/>
          <w:bCs w:val="1"/>
          <w:i w:val="1"/>
          <w:iCs w:val="1"/>
          <w:color w:val="auto"/>
        </w:rPr>
        <w:t>Say on Pay Vote</w:t>
      </w:r>
      <w:r>
        <w:rPr>
          <w:rFonts w:ascii="Times New Roman" w:cs="Times New Roman" w:eastAsia="Times New Roman" w:hAnsi="Times New Roman"/>
          <w:sz w:val="22"/>
          <w:szCs w:val="22"/>
          <w:b w:val="1"/>
          <w:bCs w:val="1"/>
          <w:color w:val="auto"/>
        </w:rPr>
        <w:t>”)</w:t>
      </w:r>
    </w:p>
    <w:p>
      <w:pPr>
        <w:spacing w:after="0" w:line="371"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stockholders voted to approve the non-binding, advisory proposal on the compensation of the Company’s named executive officers. The results of the vote were as follows:</w:t>
      </w:r>
    </w:p>
    <w:p>
      <w:pPr>
        <w:spacing w:after="0" w:line="175" w:lineRule="exact"/>
        <w:rPr>
          <w:sz w:val="20"/>
          <w:szCs w:val="20"/>
          <w:color w:val="auto"/>
        </w:rPr>
      </w:pPr>
    </w:p>
    <w:tbl>
      <w:tblPr>
        <w:tblLayout w:type="fixed"/>
        <w:tblInd w:w="1400" w:type="dxa"/>
        <w:tblCellMar>
          <w:top w:w="0" w:type="dxa"/>
          <w:left w:w="0" w:type="dxa"/>
          <w:bottom w:w="0" w:type="dxa"/>
          <w:right w:w="0" w:type="dxa"/>
        </w:tblCellMar>
      </w:tblPr>
      <w:tr>
        <w:trPr>
          <w:trHeight w:val="253"/>
        </w:trPr>
        <w:tc>
          <w:tcPr>
            <w:tcW w:w="1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1920" w:type="dxa"/>
            <w:vAlign w:val="bottom"/>
            <w:gridSpan w:val="2"/>
            <w:vMerge w:val="restart"/>
          </w:tcPr>
          <w:p>
            <w:pPr>
              <w:ind w:left="460"/>
              <w:spacing w:after="0"/>
              <w:rPr>
                <w:sz w:val="20"/>
                <w:szCs w:val="20"/>
                <w:color w:val="auto"/>
              </w:rPr>
            </w:pPr>
            <w:r>
              <w:rPr>
                <w:rFonts w:ascii="Times New Roman" w:cs="Times New Roman" w:eastAsia="Times New Roman" w:hAnsi="Times New Roman"/>
                <w:sz w:val="22"/>
                <w:szCs w:val="22"/>
                <w:b w:val="1"/>
                <w:bCs w:val="1"/>
                <w:color w:val="auto"/>
              </w:rPr>
              <w:t>Against</w:t>
            </w:r>
          </w:p>
        </w:tc>
        <w:tc>
          <w:tcPr>
            <w:tcW w:w="1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22"/>
                <w:szCs w:val="22"/>
                <w:b w:val="1"/>
                <w:bCs w:val="1"/>
                <w:color w:val="auto"/>
              </w:rPr>
              <w:t>Abstain</w:t>
            </w:r>
          </w:p>
        </w:tc>
        <w:tc>
          <w:tcPr>
            <w:tcW w:w="1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Broker Non-</w:t>
            </w:r>
          </w:p>
        </w:tc>
        <w:tc>
          <w:tcPr>
            <w:tcW w:w="0" w:type="dxa"/>
            <w:vAlign w:val="bottom"/>
          </w:tcPr>
          <w:p>
            <w:pPr>
              <w:spacing w:after="0"/>
              <w:rPr>
                <w:sz w:val="1"/>
                <w:szCs w:val="1"/>
                <w:color w:val="auto"/>
              </w:rPr>
            </w:pPr>
          </w:p>
        </w:tc>
      </w:tr>
      <w:tr>
        <w:trPr>
          <w:trHeight w:val="284"/>
        </w:trPr>
        <w:tc>
          <w:tcPr>
            <w:tcW w:w="1880" w:type="dxa"/>
            <w:vAlign w:val="bottom"/>
            <w:tcBorders>
              <w:bottom w:val="single" w:sz="8" w:color="auto"/>
            </w:tcBorders>
            <w:gridSpan w:val="2"/>
            <w:vMerge w:val="continue"/>
          </w:tcPr>
          <w:p>
            <w:pPr>
              <w:spacing w:after="0"/>
              <w:rPr>
                <w:sz w:val="24"/>
                <w:szCs w:val="24"/>
                <w:color w:val="auto"/>
              </w:rPr>
            </w:pPr>
          </w:p>
        </w:tc>
        <w:tc>
          <w:tcPr>
            <w:tcW w:w="1920" w:type="dxa"/>
            <w:vAlign w:val="bottom"/>
            <w:tcBorders>
              <w:bottom w:val="single" w:sz="8" w:color="auto"/>
            </w:tcBorders>
            <w:gridSpan w:val="2"/>
            <w:vMerge w:val="continue"/>
          </w:tcPr>
          <w:p>
            <w:pPr>
              <w:spacing w:after="0"/>
              <w:rPr>
                <w:sz w:val="24"/>
                <w:szCs w:val="24"/>
                <w:color w:val="auto"/>
              </w:rPr>
            </w:pPr>
          </w:p>
        </w:tc>
        <w:tc>
          <w:tcPr>
            <w:tcW w:w="1840" w:type="dxa"/>
            <w:vAlign w:val="bottom"/>
            <w:tcBorders>
              <w:bottom w:val="single" w:sz="8" w:color="auto"/>
            </w:tcBorders>
            <w:gridSpan w:val="2"/>
            <w:vMerge w:val="continue"/>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Votes</w:t>
            </w:r>
          </w:p>
        </w:tc>
        <w:tc>
          <w:tcPr>
            <w:tcW w:w="0" w:type="dxa"/>
            <w:vAlign w:val="bottom"/>
          </w:tcPr>
          <w:p>
            <w:pPr>
              <w:spacing w:after="0"/>
              <w:rPr>
                <w:sz w:val="1"/>
                <w:szCs w:val="1"/>
                <w:color w:val="auto"/>
              </w:rPr>
            </w:pPr>
          </w:p>
        </w:tc>
      </w:tr>
      <w:tr>
        <w:trPr>
          <w:trHeight w:val="263"/>
        </w:trPr>
        <w:tc>
          <w:tcPr>
            <w:tcW w:w="16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8,989,176</w:t>
            </w:r>
          </w:p>
        </w:tc>
        <w:tc>
          <w:tcPr>
            <w:tcW w:w="280" w:type="dxa"/>
            <w:vAlign w:val="bottom"/>
          </w:tcPr>
          <w:p>
            <w:pPr>
              <w:spacing w:after="0"/>
              <w:rPr>
                <w:sz w:val="22"/>
                <w:szCs w:val="22"/>
                <w:color w:val="auto"/>
              </w:rPr>
            </w:pPr>
          </w:p>
        </w:tc>
        <w:tc>
          <w:tcPr>
            <w:tcW w:w="1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256,597</w:t>
            </w:r>
          </w:p>
        </w:tc>
        <w:tc>
          <w:tcPr>
            <w:tcW w:w="300" w:type="dxa"/>
            <w:vAlign w:val="bottom"/>
          </w:tcPr>
          <w:p>
            <w:pPr>
              <w:spacing w:after="0"/>
              <w:rPr>
                <w:sz w:val="22"/>
                <w:szCs w:val="22"/>
                <w:color w:val="auto"/>
              </w:rPr>
            </w:pPr>
          </w:p>
        </w:tc>
        <w:tc>
          <w:tcPr>
            <w:tcW w:w="16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118,523</w:t>
            </w:r>
          </w:p>
        </w:tc>
        <w:tc>
          <w:tcPr>
            <w:tcW w:w="24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0" w:type="dxa"/>
            <w:vAlign w:val="bottom"/>
          </w:tcPr>
          <w:p>
            <w:pPr>
              <w:spacing w:after="0"/>
              <w:rPr>
                <w:sz w:val="1"/>
                <w:szCs w:val="1"/>
                <w:color w:val="auto"/>
              </w:rPr>
            </w:pPr>
          </w:p>
        </w:tc>
      </w:tr>
    </w:tbl>
    <w:p>
      <w:pPr>
        <w:spacing w:after="0" w:line="347" w:lineRule="exact"/>
        <w:rPr>
          <w:sz w:val="20"/>
          <w:szCs w:val="20"/>
          <w:color w:val="auto"/>
        </w:rPr>
      </w:pPr>
    </w:p>
    <w:p>
      <w:pPr>
        <w:jc w:val="both"/>
        <w:ind w:left="1920" w:right="2440" w:hanging="1241"/>
        <w:spacing w:after="0" w:line="277" w:lineRule="auto"/>
        <w:tabs>
          <w:tab w:leader="none" w:pos="1900" w:val="left"/>
        </w:tabs>
        <w:rPr>
          <w:sz w:val="20"/>
          <w:szCs w:val="20"/>
          <w:color w:val="auto"/>
        </w:rPr>
      </w:pPr>
      <w:r>
        <w:rPr>
          <w:rFonts w:ascii="Times New Roman" w:cs="Times New Roman" w:eastAsia="Times New Roman" w:hAnsi="Times New Roman"/>
          <w:sz w:val="22"/>
          <w:szCs w:val="22"/>
          <w:b w:val="1"/>
          <w:bCs w:val="1"/>
          <w:color w:val="auto"/>
        </w:rPr>
        <w:t>Proposal 3:</w:t>
      </w:r>
      <w:r>
        <w:rPr>
          <w:sz w:val="20"/>
          <w:szCs w:val="20"/>
          <w:color w:val="auto"/>
        </w:rPr>
        <w:tab/>
      </w:r>
      <w:r>
        <w:rPr>
          <w:rFonts w:ascii="Times New Roman" w:cs="Times New Roman" w:eastAsia="Times New Roman" w:hAnsi="Times New Roman"/>
          <w:sz w:val="21"/>
          <w:szCs w:val="21"/>
          <w:b w:val="1"/>
          <w:bCs w:val="1"/>
          <w:color w:val="auto"/>
        </w:rPr>
        <w:t>Approval of Amendment to Second Amended and Restated 2014 Omnibus Equity Award Plan to increase the number of shares of Common Stock available for issuance thereunder (“</w:t>
      </w:r>
      <w:r>
        <w:rPr>
          <w:rFonts w:ascii="Times New Roman" w:cs="Times New Roman" w:eastAsia="Times New Roman" w:hAnsi="Times New Roman"/>
          <w:sz w:val="21"/>
          <w:szCs w:val="21"/>
          <w:b w:val="1"/>
          <w:bCs w:val="1"/>
          <w:i w:val="1"/>
          <w:iCs w:val="1"/>
          <w:color w:val="auto"/>
        </w:rPr>
        <w:t>Second A&amp;R 2014 Plan Proposal</w:t>
      </w:r>
      <w:r>
        <w:rPr>
          <w:rFonts w:ascii="Times New Roman" w:cs="Times New Roman" w:eastAsia="Times New Roman" w:hAnsi="Times New Roman"/>
          <w:sz w:val="21"/>
          <w:szCs w:val="21"/>
          <w:b w:val="1"/>
          <w:bCs w:val="1"/>
          <w:color w:val="auto"/>
        </w:rPr>
        <w:t>”)</w:t>
      </w:r>
    </w:p>
    <w:p>
      <w:pPr>
        <w:spacing w:after="0" w:line="3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stockholders voted to approve an amendment to the Company’s Second Amended and Restated 2014 Omnibus Equity Award Plan to increase the number of shares of Common Stock available for issuance thereunder. The results of the vote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1"/>
                <w:szCs w:val="21"/>
                <w:color w:val="auto"/>
              </w:rPr>
            </w:pPr>
          </w:p>
        </w:tc>
        <w:tc>
          <w:tcPr>
            <w:tcW w:w="1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1920" w:type="dxa"/>
            <w:vAlign w:val="bottom"/>
            <w:gridSpan w:val="2"/>
            <w:vMerge w:val="restart"/>
          </w:tcPr>
          <w:p>
            <w:pPr>
              <w:ind w:left="460"/>
              <w:spacing w:after="0"/>
              <w:rPr>
                <w:sz w:val="20"/>
                <w:szCs w:val="20"/>
                <w:color w:val="auto"/>
              </w:rPr>
            </w:pPr>
            <w:r>
              <w:rPr>
                <w:rFonts w:ascii="Times New Roman" w:cs="Times New Roman" w:eastAsia="Times New Roman" w:hAnsi="Times New Roman"/>
                <w:sz w:val="22"/>
                <w:szCs w:val="22"/>
                <w:b w:val="1"/>
                <w:bCs w:val="1"/>
                <w:color w:val="auto"/>
              </w:rPr>
              <w:t>Against</w:t>
            </w:r>
          </w:p>
        </w:tc>
        <w:tc>
          <w:tcPr>
            <w:tcW w:w="1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8"/>
              </w:rPr>
              <w:t>Abstain</w:t>
            </w:r>
          </w:p>
        </w:tc>
        <w:tc>
          <w:tcPr>
            <w:tcW w:w="4200" w:type="dxa"/>
            <w:vAlign w:val="bottom"/>
            <w:gridSpan w:val="2"/>
          </w:tcPr>
          <w:p>
            <w:pPr>
              <w:jc w:val="center"/>
              <w:ind w:right="2580"/>
              <w:spacing w:after="0"/>
              <w:rPr>
                <w:sz w:val="20"/>
                <w:szCs w:val="20"/>
                <w:color w:val="auto"/>
              </w:rPr>
            </w:pPr>
            <w:r>
              <w:rPr>
                <w:rFonts w:ascii="Times New Roman" w:cs="Times New Roman" w:eastAsia="Times New Roman" w:hAnsi="Times New Roman"/>
                <w:sz w:val="22"/>
                <w:szCs w:val="22"/>
                <w:b w:val="1"/>
                <w:bCs w:val="1"/>
                <w:color w:val="auto"/>
                <w:w w:val="98"/>
              </w:rPr>
              <w:t>Broker Non-</w:t>
            </w: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1880" w:type="dxa"/>
            <w:vAlign w:val="bottom"/>
            <w:gridSpan w:val="2"/>
            <w:vMerge w:val="continue"/>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1840" w:type="dxa"/>
            <w:vAlign w:val="bottom"/>
            <w:gridSpan w:val="2"/>
            <w:vMerge w:val="continue"/>
          </w:tcPr>
          <w:p>
            <w:pPr>
              <w:spacing w:after="0"/>
              <w:rPr>
                <w:sz w:val="24"/>
                <w:szCs w:val="24"/>
                <w:color w:val="auto"/>
              </w:rPr>
            </w:pPr>
          </w:p>
        </w:tc>
        <w:tc>
          <w:tcPr>
            <w:tcW w:w="4200" w:type="dxa"/>
            <w:vAlign w:val="bottom"/>
            <w:gridSpan w:val="2"/>
          </w:tcPr>
          <w:p>
            <w:pPr>
              <w:jc w:val="center"/>
              <w:ind w:right="2580"/>
              <w:spacing w:after="0"/>
              <w:rPr>
                <w:sz w:val="20"/>
                <w:szCs w:val="20"/>
                <w:color w:val="auto"/>
              </w:rPr>
            </w:pPr>
            <w:r>
              <w:rPr>
                <w:rFonts w:ascii="Times New Roman" w:cs="Times New Roman" w:eastAsia="Times New Roman" w:hAnsi="Times New Roman"/>
                <w:sz w:val="22"/>
                <w:szCs w:val="22"/>
                <w:b w:val="1"/>
                <w:bCs w:val="1"/>
                <w:color w:val="auto"/>
                <w:w w:val="95"/>
              </w:rPr>
              <w:t>Votes</w:t>
            </w: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9,060,801</w:t>
            </w:r>
          </w:p>
        </w:tc>
        <w:tc>
          <w:tcPr>
            <w:tcW w:w="280" w:type="dxa"/>
            <w:vAlign w:val="bottom"/>
            <w:tcBorders>
              <w:top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270,953</w:t>
            </w:r>
          </w:p>
        </w:tc>
        <w:tc>
          <w:tcPr>
            <w:tcW w:w="300" w:type="dxa"/>
            <w:vAlign w:val="bottom"/>
            <w:tcBorders>
              <w:top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32,542</w:t>
            </w:r>
          </w:p>
        </w:tc>
        <w:tc>
          <w:tcPr>
            <w:tcW w:w="240" w:type="dxa"/>
            <w:vAlign w:val="bottom"/>
            <w:tcBorders>
              <w:top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9"/>
        </w:trPr>
        <w:tc>
          <w:tcPr>
            <w:tcW w:w="14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jc w:val="both"/>
        <w:ind w:left="1920" w:right="2440" w:hanging="1241"/>
        <w:spacing w:after="0" w:line="259" w:lineRule="auto"/>
        <w:tabs>
          <w:tab w:leader="none" w:pos="1900" w:val="left"/>
        </w:tabs>
        <w:rPr>
          <w:sz w:val="20"/>
          <w:szCs w:val="20"/>
          <w:color w:val="auto"/>
        </w:rPr>
      </w:pPr>
      <w:r>
        <w:rPr>
          <w:rFonts w:ascii="Times New Roman" w:cs="Times New Roman" w:eastAsia="Times New Roman" w:hAnsi="Times New Roman"/>
          <w:sz w:val="22"/>
          <w:szCs w:val="22"/>
          <w:b w:val="1"/>
          <w:bCs w:val="1"/>
          <w:color w:val="auto"/>
        </w:rPr>
        <w:t>Proposal 4:</w:t>
        <w:tab/>
        <w:t>Ratification of the appointment of BDO USA, P.C., as the Company's independent registered public accounting firm for the fiscal year ending December 31, 2026 (“</w:t>
      </w:r>
      <w:r>
        <w:rPr>
          <w:rFonts w:ascii="Times New Roman" w:cs="Times New Roman" w:eastAsia="Times New Roman" w:hAnsi="Times New Roman"/>
          <w:sz w:val="22"/>
          <w:szCs w:val="22"/>
          <w:b w:val="1"/>
          <w:bCs w:val="1"/>
          <w:i w:val="1"/>
          <w:iCs w:val="1"/>
          <w:color w:val="auto"/>
        </w:rPr>
        <w:t>Accounting Firm Proposal</w:t>
      </w:r>
      <w:r>
        <w:rPr>
          <w:rFonts w:ascii="Times New Roman" w:cs="Times New Roman" w:eastAsia="Times New Roman" w:hAnsi="Times New Roman"/>
          <w:sz w:val="22"/>
          <w:szCs w:val="22"/>
          <w:b w:val="1"/>
          <w:bCs w:val="1"/>
          <w:color w:val="auto"/>
        </w:rPr>
        <w:t>”)</w:t>
      </w:r>
    </w:p>
    <w:p>
      <w:pPr>
        <w:spacing w:after="0" w:line="35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stockholders voted to ratify the appointment of BDO USA, P.C., as the Company's independent registered public accounting firm for the fiscal year ending December 31, 2026. The results of the vote were as follows:</w:t>
      </w:r>
    </w:p>
    <w:p>
      <w:pPr>
        <w:spacing w:after="0" w:line="175" w:lineRule="exact"/>
        <w:rPr>
          <w:sz w:val="20"/>
          <w:szCs w:val="20"/>
          <w:color w:val="auto"/>
        </w:rPr>
      </w:pPr>
    </w:p>
    <w:tbl>
      <w:tblPr>
        <w:tblLayout w:type="fixed"/>
        <w:tblInd w:w="1400" w:type="dxa"/>
        <w:tblCellMar>
          <w:top w:w="0" w:type="dxa"/>
          <w:left w:w="0" w:type="dxa"/>
          <w:bottom w:w="0" w:type="dxa"/>
          <w:right w:w="0" w:type="dxa"/>
        </w:tblCellMar>
      </w:tblPr>
      <w:tr>
        <w:trPr>
          <w:trHeight w:val="253"/>
        </w:trPr>
        <w:tc>
          <w:tcPr>
            <w:tcW w:w="1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1920" w:type="dxa"/>
            <w:vAlign w:val="bottom"/>
            <w:gridSpan w:val="2"/>
            <w:vMerge w:val="restart"/>
          </w:tcPr>
          <w:p>
            <w:pPr>
              <w:ind w:left="460"/>
              <w:spacing w:after="0"/>
              <w:rPr>
                <w:sz w:val="20"/>
                <w:szCs w:val="20"/>
                <w:color w:val="auto"/>
              </w:rPr>
            </w:pPr>
            <w:r>
              <w:rPr>
                <w:rFonts w:ascii="Times New Roman" w:cs="Times New Roman" w:eastAsia="Times New Roman" w:hAnsi="Times New Roman"/>
                <w:sz w:val="22"/>
                <w:szCs w:val="22"/>
                <w:b w:val="1"/>
                <w:bCs w:val="1"/>
                <w:color w:val="auto"/>
              </w:rPr>
              <w:t>Against</w:t>
            </w:r>
          </w:p>
        </w:tc>
        <w:tc>
          <w:tcPr>
            <w:tcW w:w="1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8"/>
              </w:rPr>
              <w:t>Abstain</w:t>
            </w:r>
          </w:p>
        </w:tc>
        <w:tc>
          <w:tcPr>
            <w:tcW w:w="1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Broker Non-</w:t>
            </w:r>
          </w:p>
        </w:tc>
        <w:tc>
          <w:tcPr>
            <w:tcW w:w="0" w:type="dxa"/>
            <w:vAlign w:val="bottom"/>
          </w:tcPr>
          <w:p>
            <w:pPr>
              <w:spacing w:after="0"/>
              <w:rPr>
                <w:sz w:val="1"/>
                <w:szCs w:val="1"/>
                <w:color w:val="auto"/>
              </w:rPr>
            </w:pPr>
          </w:p>
        </w:tc>
      </w:tr>
      <w:tr>
        <w:trPr>
          <w:trHeight w:val="283"/>
        </w:trPr>
        <w:tc>
          <w:tcPr>
            <w:tcW w:w="1880" w:type="dxa"/>
            <w:vAlign w:val="bottom"/>
            <w:tcBorders>
              <w:bottom w:val="single" w:sz="8" w:color="auto"/>
            </w:tcBorders>
            <w:gridSpan w:val="2"/>
            <w:vMerge w:val="continue"/>
          </w:tcPr>
          <w:p>
            <w:pPr>
              <w:spacing w:after="0"/>
              <w:rPr>
                <w:sz w:val="24"/>
                <w:szCs w:val="24"/>
                <w:color w:val="auto"/>
              </w:rPr>
            </w:pPr>
          </w:p>
        </w:tc>
        <w:tc>
          <w:tcPr>
            <w:tcW w:w="1920" w:type="dxa"/>
            <w:vAlign w:val="bottom"/>
            <w:tcBorders>
              <w:bottom w:val="single" w:sz="8" w:color="auto"/>
            </w:tcBorders>
            <w:gridSpan w:val="2"/>
            <w:vMerge w:val="continue"/>
          </w:tcPr>
          <w:p>
            <w:pPr>
              <w:spacing w:after="0"/>
              <w:rPr>
                <w:sz w:val="24"/>
                <w:szCs w:val="24"/>
                <w:color w:val="auto"/>
              </w:rPr>
            </w:pPr>
          </w:p>
        </w:tc>
        <w:tc>
          <w:tcPr>
            <w:tcW w:w="1840" w:type="dxa"/>
            <w:vAlign w:val="bottom"/>
            <w:tcBorders>
              <w:bottom w:val="single" w:sz="8" w:color="auto"/>
            </w:tcBorders>
            <w:gridSpan w:val="2"/>
            <w:vMerge w:val="continue"/>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Votes</w:t>
            </w:r>
          </w:p>
        </w:tc>
        <w:tc>
          <w:tcPr>
            <w:tcW w:w="0" w:type="dxa"/>
            <w:vAlign w:val="bottom"/>
          </w:tcPr>
          <w:p>
            <w:pPr>
              <w:spacing w:after="0"/>
              <w:rPr>
                <w:sz w:val="1"/>
                <w:szCs w:val="1"/>
                <w:color w:val="auto"/>
              </w:rPr>
            </w:pPr>
          </w:p>
        </w:tc>
      </w:tr>
      <w:tr>
        <w:trPr>
          <w:trHeight w:val="263"/>
        </w:trPr>
        <w:tc>
          <w:tcPr>
            <w:tcW w:w="16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11,509,455</w:t>
            </w:r>
          </w:p>
        </w:tc>
        <w:tc>
          <w:tcPr>
            <w:tcW w:w="280" w:type="dxa"/>
            <w:vAlign w:val="bottom"/>
          </w:tcPr>
          <w:p>
            <w:pPr>
              <w:spacing w:after="0"/>
              <w:rPr>
                <w:sz w:val="22"/>
                <w:szCs w:val="22"/>
                <w:color w:val="auto"/>
              </w:rPr>
            </w:pPr>
          </w:p>
        </w:tc>
        <w:tc>
          <w:tcPr>
            <w:tcW w:w="1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332,271</w:t>
            </w:r>
          </w:p>
        </w:tc>
        <w:tc>
          <w:tcPr>
            <w:tcW w:w="300" w:type="dxa"/>
            <w:vAlign w:val="bottom"/>
          </w:tcPr>
          <w:p>
            <w:pPr>
              <w:spacing w:after="0"/>
              <w:rPr>
                <w:sz w:val="22"/>
                <w:szCs w:val="22"/>
                <w:color w:val="auto"/>
              </w:rPr>
            </w:pPr>
          </w:p>
        </w:tc>
        <w:tc>
          <w:tcPr>
            <w:tcW w:w="16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color w:val="auto"/>
              </w:rPr>
              <w:t>9,337</w:t>
            </w:r>
          </w:p>
        </w:tc>
        <w:tc>
          <w:tcPr>
            <w:tcW w:w="24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129"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97" w:lineRule="exact"/>
        <w:rPr>
          <w:sz w:val="20"/>
          <w:szCs w:val="20"/>
          <w:color w:val="auto"/>
        </w:rPr>
      </w:pPr>
    </w:p>
    <w:p>
      <w:pPr>
        <w:ind w:left="4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Exhibit No.</w:t>
      </w:r>
      <w:r>
        <w:rPr>
          <w:sz w:val="20"/>
          <w:szCs w:val="20"/>
          <w:color w:val="auto"/>
        </w:rPr>
        <w:tab/>
      </w:r>
      <w:r>
        <w:rPr>
          <w:rFonts w:ascii="Times New Roman" w:cs="Times New Roman" w:eastAsia="Times New Roman" w:hAnsi="Times New Roman"/>
          <w:sz w:val="21"/>
          <w:szCs w:val="2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15175"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50609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104</w:t>
            </w:r>
          </w:p>
        </w:tc>
        <w:tc>
          <w:tcPr>
            <w:tcW w:w="104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Cover Page Interactive Data File (the cover page XBRL tags are embedded within the inline XBRL document).</w:t>
            </w:r>
          </w:p>
        </w:tc>
      </w:tr>
      <w:tr>
        <w:trPr>
          <w:trHeight w:val="981"/>
        </w:trPr>
        <w:tc>
          <w:tcPr>
            <w:tcW w:w="820" w:type="dxa"/>
            <w:vAlign w:val="bottom"/>
            <w:tcBorders>
              <w:bottom w:val="single" w:sz="8" w:color="9A9A9A"/>
            </w:tcBorders>
          </w:tcPr>
          <w:p>
            <w:pPr>
              <w:spacing w:after="0"/>
              <w:rPr>
                <w:sz w:val="24"/>
                <w:szCs w:val="24"/>
                <w:color w:val="auto"/>
              </w:rPr>
            </w:pPr>
          </w:p>
        </w:tc>
        <w:tc>
          <w:tcPr>
            <w:tcW w:w="10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11, 2026</w:t>
      </w:r>
    </w:p>
    <w:p>
      <w:pPr>
        <w:spacing w:after="0" w:line="3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 xml:space="preserve">INNOVATE Corp. </w:t>
      </w:r>
      <w:r>
        <w:rPr>
          <w:rFonts w:ascii="Times New Roman" w:cs="Times New Roman" w:eastAsia="Times New Roman" w:hAnsi="Times New Roman"/>
          <w:sz w:val="20"/>
          <w:szCs w:val="20"/>
          <w:color w:val="auto"/>
        </w:rPr>
        <w:t>(Registrant)</w:t>
      </w:r>
    </w:p>
    <w:p>
      <w:pPr>
        <w:spacing w:after="0" w:line="297" w:lineRule="exact"/>
        <w:rPr>
          <w:sz w:val="20"/>
          <w:szCs w:val="20"/>
          <w:color w:val="auto"/>
        </w:rPr>
      </w:pPr>
    </w:p>
    <w:p>
      <w:pPr>
        <w:ind w:left="4960"/>
        <w:spacing w:after="0"/>
        <w:tabs>
          <w:tab w:leader="none" w:pos="57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Michael J.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25400</wp:posOffset>
            </wp:positionV>
            <wp:extent cx="2871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Name: Michael J. Sena</w:t>
      </w:r>
    </w:p>
    <w:p>
      <w:pPr>
        <w:spacing w:after="0" w:line="2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Title: Chief Financial Officer</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2026-06-11T15:41:28Z</dcterms:created>
  <dcterms:modified xsi:type="dcterms:W3CDTF">2026-06-11T15:41:28Z</dcterms:modified>
</cp:coreProperties>
</file>