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3"/>
          <w:szCs w:val="23"/>
          <w:b w:val="1"/>
          <w:bCs w:val="1"/>
          <w:color w:val="auto"/>
        </w:rPr>
        <w:t>SCHEDULE 14A</w:t>
      </w:r>
    </w:p>
    <w:p>
      <w:pPr>
        <w:jc w:val="center"/>
        <w:ind w:right="-259"/>
        <w:spacing w:after="0" w:line="216" w:lineRule="auto"/>
        <w:rPr>
          <w:sz w:val="20"/>
          <w:szCs w:val="20"/>
          <w:color w:val="auto"/>
        </w:rPr>
      </w:pPr>
      <w:r>
        <w:rPr>
          <w:rFonts w:ascii="Arial" w:cs="Arial" w:eastAsia="Arial" w:hAnsi="Arial"/>
          <w:sz w:val="20"/>
          <w:szCs w:val="20"/>
          <w:b w:val="1"/>
          <w:bCs w:val="1"/>
          <w:color w:val="auto"/>
        </w:rPr>
        <w:t>(Rule 14a-101)</w:t>
      </w:r>
    </w:p>
    <w:p>
      <w:pPr>
        <w:jc w:val="center"/>
        <w:ind w:right="-259"/>
        <w:spacing w:after="0" w:line="225" w:lineRule="auto"/>
        <w:rPr>
          <w:sz w:val="20"/>
          <w:szCs w:val="20"/>
          <w:color w:val="auto"/>
        </w:rPr>
      </w:pPr>
      <w:r>
        <w:rPr>
          <w:rFonts w:ascii="Arial" w:cs="Arial" w:eastAsia="Arial" w:hAnsi="Arial"/>
          <w:sz w:val="20"/>
          <w:szCs w:val="20"/>
          <w:b w:val="1"/>
          <w:bCs w:val="1"/>
          <w:color w:val="auto"/>
        </w:rPr>
        <w:t>INFORMATION REQUIRED IN PROXY STATEMENT</w:t>
      </w:r>
    </w:p>
    <w:p>
      <w:pPr>
        <w:jc w:val="center"/>
        <w:ind w:right="-259"/>
        <w:spacing w:after="0" w:line="238" w:lineRule="auto"/>
        <w:rPr>
          <w:sz w:val="20"/>
          <w:szCs w:val="20"/>
          <w:color w:val="auto"/>
        </w:rPr>
      </w:pPr>
      <w:r>
        <w:rPr>
          <w:rFonts w:ascii="Arial" w:cs="Arial" w:eastAsia="Arial" w:hAnsi="Arial"/>
          <w:sz w:val="23"/>
          <w:szCs w:val="23"/>
          <w:b w:val="1"/>
          <w:bCs w:val="1"/>
          <w:color w:val="auto"/>
        </w:rPr>
        <w:t>SCHEDULE 14A INFORMATION</w:t>
      </w:r>
    </w:p>
    <w:p>
      <w:pPr>
        <w:jc w:val="center"/>
        <w:ind w:right="-259"/>
        <w:spacing w:after="0" w:line="192" w:lineRule="auto"/>
        <w:rPr>
          <w:sz w:val="20"/>
          <w:szCs w:val="20"/>
          <w:color w:val="auto"/>
        </w:rPr>
      </w:pPr>
      <w:r>
        <w:rPr>
          <w:rFonts w:ascii="Arial" w:cs="Arial" w:eastAsia="Arial" w:hAnsi="Arial"/>
          <w:sz w:val="20"/>
          <w:szCs w:val="20"/>
          <w:b w:val="1"/>
          <w:bCs w:val="1"/>
          <w:color w:val="auto"/>
        </w:rPr>
        <w:t>PROXY STATEMENT PURSUANT TO SECTION 14(a) OF</w:t>
      </w:r>
    </w:p>
    <w:p>
      <w:pPr>
        <w:jc w:val="center"/>
        <w:ind w:right="-259"/>
        <w:spacing w:after="0"/>
        <w:rPr>
          <w:sz w:val="20"/>
          <w:szCs w:val="20"/>
          <w:color w:val="auto"/>
        </w:rPr>
      </w:pPr>
      <w:r>
        <w:rPr>
          <w:rFonts w:ascii="Arial" w:cs="Arial" w:eastAsia="Arial" w:hAnsi="Arial"/>
          <w:sz w:val="20"/>
          <w:szCs w:val="20"/>
          <w:b w:val="1"/>
          <w:bCs w:val="1"/>
          <w:color w:val="auto"/>
        </w:rPr>
        <w:t>THE SECURITIES EXCHANGE ACT OF 1934</w:t>
      </w:r>
    </w:p>
    <w:p>
      <w:pPr>
        <w:spacing w:after="0" w:line="116"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(Amendment No. )</w:t>
      </w:r>
    </w:p>
    <w:p>
      <w:pPr>
        <w:spacing w:after="0" w:line="13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Filed by the Registrant [ ]</w:t>
      </w:r>
    </w:p>
    <w:p>
      <w:pPr>
        <w:spacing w:after="0" w:line="13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Filed by a Party Other than the Registrant [X]</w:t>
      </w:r>
    </w:p>
    <w:p>
      <w:pPr>
        <w:spacing w:after="0" w:line="13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Check the Appropriate Box:</w:t>
      </w:r>
    </w:p>
    <w:p>
      <w:pPr>
        <w:spacing w:after="0" w:line="114" w:lineRule="exact"/>
        <w:rPr>
          <w:sz w:val="24"/>
          <w:szCs w:val="24"/>
          <w:color w:val="auto"/>
        </w:rPr>
      </w:pPr>
    </w:p>
    <w:p>
      <w:pPr>
        <w:ind w:left="320"/>
        <w:spacing w:after="0"/>
        <w:rPr>
          <w:sz w:val="20"/>
          <w:szCs w:val="20"/>
          <w:color w:val="auto"/>
        </w:rPr>
      </w:pPr>
      <w:r>
        <w:rPr>
          <w:rFonts w:ascii="Arial" w:cs="Arial" w:eastAsia="Arial" w:hAnsi="Arial"/>
          <w:sz w:val="20"/>
          <w:szCs w:val="20"/>
          <w:color w:val="auto"/>
        </w:rPr>
        <w:t>[ ] Preliminary Proxy Statement</w:t>
      </w:r>
    </w:p>
    <w:p>
      <w:pPr>
        <w:ind w:left="320"/>
        <w:spacing w:after="0" w:line="191" w:lineRule="auto"/>
        <w:rPr>
          <w:sz w:val="20"/>
          <w:szCs w:val="20"/>
          <w:color w:val="auto"/>
        </w:rPr>
      </w:pPr>
      <w:r>
        <w:rPr>
          <w:rFonts w:ascii="Arial" w:cs="Arial" w:eastAsia="Arial" w:hAnsi="Arial"/>
          <w:sz w:val="20"/>
          <w:szCs w:val="20"/>
          <w:color w:val="auto"/>
        </w:rPr>
        <w:t>[ ] Confidential, for Use of the Commission Only (as permitted by</w:t>
      </w:r>
    </w:p>
    <w:p>
      <w:pPr>
        <w:ind w:left="540"/>
        <w:spacing w:after="0" w:line="192" w:lineRule="auto"/>
        <w:rPr>
          <w:sz w:val="20"/>
          <w:szCs w:val="20"/>
          <w:color w:val="auto"/>
        </w:rPr>
      </w:pPr>
      <w:r>
        <w:rPr>
          <w:rFonts w:ascii="Arial" w:cs="Arial" w:eastAsia="Arial" w:hAnsi="Arial"/>
          <w:sz w:val="20"/>
          <w:szCs w:val="20"/>
          <w:color w:val="auto"/>
        </w:rPr>
        <w:t>Rule 14a-6(e)(2))</w:t>
      </w:r>
    </w:p>
    <w:p>
      <w:pPr>
        <w:ind w:left="320"/>
        <w:spacing w:after="0" w:line="192" w:lineRule="auto"/>
        <w:rPr>
          <w:sz w:val="20"/>
          <w:szCs w:val="20"/>
          <w:color w:val="auto"/>
        </w:rPr>
      </w:pPr>
      <w:r>
        <w:rPr>
          <w:rFonts w:ascii="Arial" w:cs="Arial" w:eastAsia="Arial" w:hAnsi="Arial"/>
          <w:sz w:val="20"/>
          <w:szCs w:val="20"/>
          <w:color w:val="auto"/>
        </w:rPr>
        <w:t>[ ] Definitive Proxy Statement</w:t>
      </w:r>
    </w:p>
    <w:p>
      <w:pPr>
        <w:ind w:left="320"/>
        <w:spacing w:after="0" w:line="192" w:lineRule="auto"/>
        <w:rPr>
          <w:sz w:val="20"/>
          <w:szCs w:val="20"/>
          <w:color w:val="auto"/>
        </w:rPr>
      </w:pPr>
      <w:r>
        <w:rPr>
          <w:rFonts w:ascii="Arial" w:cs="Arial" w:eastAsia="Arial" w:hAnsi="Arial"/>
          <w:sz w:val="20"/>
          <w:szCs w:val="20"/>
          <w:color w:val="auto"/>
        </w:rPr>
        <w:t>[X] Definitive Additional Materials</w:t>
      </w:r>
    </w:p>
    <w:p>
      <w:pPr>
        <w:ind w:left="320"/>
        <w:spacing w:after="0"/>
        <w:rPr>
          <w:sz w:val="20"/>
          <w:szCs w:val="20"/>
          <w:color w:val="auto"/>
        </w:rPr>
      </w:pPr>
      <w:r>
        <w:rPr>
          <w:rFonts w:ascii="Arial" w:cs="Arial" w:eastAsia="Arial" w:hAnsi="Arial"/>
          <w:sz w:val="20"/>
          <w:szCs w:val="20"/>
          <w:color w:val="auto"/>
        </w:rPr>
        <w:t>[ ] Soliciting Material Pursuant to Rule 14a-11(c) or Rule 14a-12</w:t>
      </w:r>
    </w:p>
    <w:p>
      <w:pPr>
        <w:spacing w:after="0" w:line="144"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u w:val="single" w:color="auto"/>
          <w:color w:val="auto"/>
        </w:rPr>
        <w:t>HC2 Holdings, Inc.</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20"/>
          <w:szCs w:val="20"/>
          <w:b w:val="1"/>
          <w:bCs w:val="1"/>
          <w:color w:val="auto"/>
        </w:rPr>
        <w:t>(Name of registrant as specified in its charter)</w:t>
      </w:r>
    </w:p>
    <w:p>
      <w:pPr>
        <w:spacing w:after="0" w:line="128" w:lineRule="exact"/>
        <w:rPr>
          <w:sz w:val="24"/>
          <w:szCs w:val="24"/>
          <w:color w:val="auto"/>
        </w:rPr>
      </w:pPr>
    </w:p>
    <w:p>
      <w:pPr>
        <w:ind w:left="4460"/>
        <w:spacing w:after="0"/>
        <w:rPr>
          <w:sz w:val="20"/>
          <w:szCs w:val="20"/>
          <w:color w:val="auto"/>
        </w:rPr>
      </w:pPr>
      <w:r>
        <w:rPr>
          <w:rFonts w:ascii="Arial" w:cs="Arial" w:eastAsia="Arial" w:hAnsi="Arial"/>
          <w:sz w:val="20"/>
          <w:szCs w:val="20"/>
          <w:b w:val="1"/>
          <w:bCs w:val="1"/>
          <w:color w:val="auto"/>
        </w:rPr>
        <w:t>PERCY ROCKDALE LLC</w:t>
      </w:r>
    </w:p>
    <w:p>
      <w:pPr>
        <w:spacing w:after="0" w:line="3"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RIO ROYAL LLC</w:t>
      </w:r>
    </w:p>
    <w:p>
      <w:pPr>
        <w:jc w:val="center"/>
        <w:ind w:right="-259"/>
        <w:spacing w:after="0" w:line="230" w:lineRule="auto"/>
        <w:rPr>
          <w:sz w:val="20"/>
          <w:szCs w:val="20"/>
          <w:color w:val="auto"/>
        </w:rPr>
      </w:pPr>
      <w:r>
        <w:rPr>
          <w:rFonts w:ascii="Arial" w:cs="Arial" w:eastAsia="Arial" w:hAnsi="Arial"/>
          <w:sz w:val="20"/>
          <w:szCs w:val="20"/>
          <w:b w:val="1"/>
          <w:bCs w:val="1"/>
          <w:color w:val="auto"/>
        </w:rPr>
        <w:t>MG CAPITAL MANAGEMENT LTD.</w:t>
      </w:r>
    </w:p>
    <w:p>
      <w:pPr>
        <w:jc w:val="center"/>
        <w:ind w:right="-259"/>
        <w:spacing w:after="0" w:line="230" w:lineRule="auto"/>
        <w:rPr>
          <w:sz w:val="20"/>
          <w:szCs w:val="20"/>
          <w:color w:val="auto"/>
        </w:rPr>
      </w:pPr>
      <w:r>
        <w:rPr>
          <w:rFonts w:ascii="Arial" w:cs="Arial" w:eastAsia="Arial" w:hAnsi="Arial"/>
          <w:sz w:val="20"/>
          <w:szCs w:val="20"/>
          <w:b w:val="1"/>
          <w:bCs w:val="1"/>
          <w:color w:val="auto"/>
        </w:rPr>
        <w:t>GEORGE BROKAW</w:t>
      </w:r>
    </w:p>
    <w:p>
      <w:pPr>
        <w:jc w:val="center"/>
        <w:ind w:right="-259"/>
        <w:spacing w:after="0" w:line="230" w:lineRule="auto"/>
        <w:rPr>
          <w:sz w:val="20"/>
          <w:szCs w:val="20"/>
          <w:color w:val="auto"/>
        </w:rPr>
      </w:pPr>
      <w:r>
        <w:rPr>
          <w:rFonts w:ascii="Arial" w:cs="Arial" w:eastAsia="Arial" w:hAnsi="Arial"/>
          <w:sz w:val="20"/>
          <w:szCs w:val="20"/>
          <w:b w:val="1"/>
          <w:bCs w:val="1"/>
          <w:color w:val="auto"/>
        </w:rPr>
        <w:t>KENNETH COURTIS</w:t>
      </w:r>
    </w:p>
    <w:p>
      <w:pPr>
        <w:jc w:val="center"/>
        <w:ind w:right="-259"/>
        <w:spacing w:after="0" w:line="230" w:lineRule="auto"/>
        <w:rPr>
          <w:sz w:val="20"/>
          <w:szCs w:val="20"/>
          <w:color w:val="auto"/>
        </w:rPr>
      </w:pPr>
      <w:r>
        <w:rPr>
          <w:rFonts w:ascii="Arial" w:cs="Arial" w:eastAsia="Arial" w:hAnsi="Arial"/>
          <w:sz w:val="20"/>
          <w:szCs w:val="20"/>
          <w:b w:val="1"/>
          <w:bCs w:val="1"/>
          <w:color w:val="auto"/>
        </w:rPr>
        <w:t>MICHAEL GORZYNSKI</w:t>
      </w:r>
    </w:p>
    <w:p>
      <w:pPr>
        <w:jc w:val="center"/>
        <w:ind w:right="-259"/>
        <w:spacing w:after="0" w:line="231" w:lineRule="auto"/>
        <w:rPr>
          <w:sz w:val="20"/>
          <w:szCs w:val="20"/>
          <w:color w:val="auto"/>
        </w:rPr>
      </w:pPr>
      <w:r>
        <w:rPr>
          <w:rFonts w:ascii="Arial" w:cs="Arial" w:eastAsia="Arial" w:hAnsi="Arial"/>
          <w:sz w:val="20"/>
          <w:szCs w:val="20"/>
          <w:b w:val="1"/>
          <w:bCs w:val="1"/>
          <w:color w:val="auto"/>
        </w:rPr>
        <w:t>ROBIN GREENWOOD</w:t>
      </w:r>
    </w:p>
    <w:p>
      <w:pPr>
        <w:jc w:val="center"/>
        <w:ind w:right="-259"/>
        <w:spacing w:after="0" w:line="230" w:lineRule="auto"/>
        <w:rPr>
          <w:sz w:val="20"/>
          <w:szCs w:val="20"/>
          <w:color w:val="auto"/>
        </w:rPr>
      </w:pPr>
      <w:r>
        <w:rPr>
          <w:rFonts w:ascii="Arial" w:cs="Arial" w:eastAsia="Arial" w:hAnsi="Arial"/>
          <w:sz w:val="20"/>
          <w:szCs w:val="20"/>
          <w:b w:val="1"/>
          <w:bCs w:val="1"/>
          <w:color w:val="auto"/>
        </w:rPr>
        <w:t>LIESL HICKEY</w:t>
      </w:r>
    </w:p>
    <w:p>
      <w:pPr>
        <w:jc w:val="center"/>
        <w:ind w:right="-259"/>
        <w:spacing w:after="0"/>
        <w:rPr>
          <w:sz w:val="20"/>
          <w:szCs w:val="20"/>
          <w:color w:val="auto"/>
        </w:rPr>
      </w:pPr>
      <w:r>
        <w:rPr>
          <w:rFonts w:ascii="Arial" w:cs="Arial" w:eastAsia="Arial" w:hAnsi="Arial"/>
          <w:sz w:val="20"/>
          <w:szCs w:val="20"/>
          <w:b w:val="1"/>
          <w:bCs w:val="1"/>
          <w:u w:val="single" w:color="auto"/>
          <w:color w:val="auto"/>
        </w:rPr>
        <w:t>JAY NEWMAN</w:t>
      </w:r>
    </w:p>
    <w:p>
      <w:pPr>
        <w:spacing w:after="0" w:line="177" w:lineRule="exact"/>
        <w:rPr>
          <w:sz w:val="24"/>
          <w:szCs w:val="24"/>
          <w:color w:val="auto"/>
        </w:rPr>
      </w:pPr>
    </w:p>
    <w:p>
      <w:pPr>
        <w:ind w:left="2720"/>
        <w:spacing w:after="0"/>
        <w:rPr>
          <w:sz w:val="20"/>
          <w:szCs w:val="20"/>
          <w:color w:val="auto"/>
        </w:rPr>
      </w:pPr>
      <w:r>
        <w:rPr>
          <w:rFonts w:ascii="Arial" w:cs="Arial" w:eastAsia="Arial" w:hAnsi="Arial"/>
          <w:sz w:val="20"/>
          <w:szCs w:val="20"/>
          <w:b w:val="1"/>
          <w:bCs w:val="1"/>
          <w:color w:val="auto"/>
        </w:rPr>
        <w:t>(Name of person(s) filing proxy statement, if other than the registrant)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20"/>
          <w:szCs w:val="20"/>
          <w:color w:val="auto"/>
        </w:rPr>
        <w:t>Payment of Filing Fee (Check the Appropriate Box):</w:t>
      </w:r>
    </w:p>
    <w:p>
      <w:pPr>
        <w:spacing w:after="0" w:line="108" w:lineRule="exact"/>
        <w:rPr>
          <w:sz w:val="24"/>
          <w:szCs w:val="24"/>
          <w:color w:val="auto"/>
        </w:rPr>
      </w:pPr>
    </w:p>
    <w:p>
      <w:pPr>
        <w:ind w:left="200"/>
        <w:spacing w:after="0"/>
        <w:rPr>
          <w:sz w:val="20"/>
          <w:szCs w:val="20"/>
          <w:color w:val="auto"/>
        </w:rPr>
      </w:pPr>
      <w:r>
        <w:rPr>
          <w:rFonts w:ascii="Arial" w:cs="Arial" w:eastAsia="Arial" w:hAnsi="Arial"/>
          <w:sz w:val="20"/>
          <w:szCs w:val="20"/>
          <w:color w:val="auto"/>
        </w:rPr>
        <w:t>[X] No fee required.</w:t>
      </w:r>
    </w:p>
    <w:p>
      <w:pPr>
        <w:ind w:left="360" w:hanging="166"/>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 Fee computed on table below per Exchange Act Rules 14a-6(i)(1) and 0-11.</w:t>
      </w:r>
    </w:p>
    <w:p>
      <w:pPr>
        <w:spacing w:after="0" w:line="91" w:lineRule="exact"/>
        <w:rPr>
          <w:rFonts w:ascii="Arial" w:cs="Arial" w:eastAsia="Arial" w:hAnsi="Arial"/>
          <w:sz w:val="20"/>
          <w:szCs w:val="20"/>
          <w:color w:val="auto"/>
        </w:rPr>
      </w:pPr>
    </w:p>
    <w:p>
      <w:pPr>
        <w:ind w:left="600" w:hanging="275"/>
        <w:spacing w:after="0"/>
        <w:tabs>
          <w:tab w:leader="none" w:pos="600" w:val="left"/>
        </w:tabs>
        <w:numPr>
          <w:ilvl w:val="1"/>
          <w:numId w:val="1"/>
        </w:numPr>
        <w:rPr>
          <w:rFonts w:ascii="Arial" w:cs="Arial" w:eastAsia="Arial" w:hAnsi="Arial"/>
          <w:sz w:val="20"/>
          <w:szCs w:val="20"/>
          <w:color w:val="auto"/>
        </w:rPr>
      </w:pPr>
      <w:r>
        <w:rPr>
          <w:rFonts w:ascii="Arial" w:cs="Arial" w:eastAsia="Arial" w:hAnsi="Arial"/>
          <w:sz w:val="20"/>
          <w:szCs w:val="20"/>
          <w:color w:val="auto"/>
        </w:rPr>
        <w:t>Title of each class of securities to which transaction applies:</w:t>
      </w:r>
    </w:p>
    <w:p>
      <w:pPr>
        <w:ind w:left="600" w:hanging="275"/>
        <w:spacing w:after="0" w:line="191" w:lineRule="auto"/>
        <w:tabs>
          <w:tab w:leader="none" w:pos="600" w:val="left"/>
        </w:tabs>
        <w:numPr>
          <w:ilvl w:val="1"/>
          <w:numId w:val="1"/>
        </w:numPr>
        <w:rPr>
          <w:rFonts w:ascii="Arial" w:cs="Arial" w:eastAsia="Arial" w:hAnsi="Arial"/>
          <w:sz w:val="20"/>
          <w:szCs w:val="20"/>
          <w:color w:val="auto"/>
        </w:rPr>
      </w:pPr>
      <w:r>
        <w:rPr>
          <w:rFonts w:ascii="Arial" w:cs="Arial" w:eastAsia="Arial" w:hAnsi="Arial"/>
          <w:sz w:val="20"/>
          <w:szCs w:val="20"/>
          <w:color w:val="auto"/>
        </w:rPr>
        <w:t>Aggregate number of securities to which transaction applies:</w:t>
      </w:r>
    </w:p>
    <w:p>
      <w:pPr>
        <w:ind w:left="580" w:right="4420" w:hanging="254"/>
        <w:spacing w:after="0" w:line="191" w:lineRule="auto"/>
        <w:tabs>
          <w:tab w:leader="none" w:pos="603" w:val="left"/>
        </w:tabs>
        <w:numPr>
          <w:ilvl w:val="1"/>
          <w:numId w:val="1"/>
        </w:numPr>
        <w:rPr>
          <w:rFonts w:ascii="Arial" w:cs="Arial" w:eastAsia="Arial" w:hAnsi="Arial"/>
          <w:sz w:val="20"/>
          <w:szCs w:val="20"/>
          <w:color w:val="auto"/>
        </w:rPr>
      </w:pPr>
      <w:r>
        <w:rPr>
          <w:rFonts w:ascii="Arial" w:cs="Arial" w:eastAsia="Arial" w:hAnsi="Arial"/>
          <w:sz w:val="20"/>
          <w:szCs w:val="20"/>
          <w:color w:val="auto"/>
        </w:rPr>
        <w:t>Per unit price or other underlying value of transaction computed pursuant to Exchange Act Rule 0-11 (set forth the amount on which the filing fee is calculated and state how it is determined):</w:t>
      </w:r>
    </w:p>
    <w:p>
      <w:pPr>
        <w:spacing w:after="0" w:line="2" w:lineRule="exact"/>
        <w:rPr>
          <w:rFonts w:ascii="Arial" w:cs="Arial" w:eastAsia="Arial" w:hAnsi="Arial"/>
          <w:sz w:val="20"/>
          <w:szCs w:val="20"/>
          <w:color w:val="auto"/>
        </w:rPr>
      </w:pPr>
    </w:p>
    <w:p>
      <w:pPr>
        <w:ind w:left="600" w:hanging="275"/>
        <w:spacing w:after="0" w:line="191" w:lineRule="auto"/>
        <w:tabs>
          <w:tab w:leader="none" w:pos="600" w:val="left"/>
        </w:tabs>
        <w:numPr>
          <w:ilvl w:val="1"/>
          <w:numId w:val="1"/>
        </w:numPr>
        <w:rPr>
          <w:rFonts w:ascii="Arial" w:cs="Arial" w:eastAsia="Arial" w:hAnsi="Arial"/>
          <w:sz w:val="20"/>
          <w:szCs w:val="20"/>
          <w:color w:val="auto"/>
        </w:rPr>
      </w:pPr>
      <w:r>
        <w:rPr>
          <w:rFonts w:ascii="Arial" w:cs="Arial" w:eastAsia="Arial" w:hAnsi="Arial"/>
          <w:sz w:val="20"/>
          <w:szCs w:val="20"/>
          <w:color w:val="auto"/>
        </w:rPr>
        <w:t>Proposed maximum aggregate value of transaction:</w:t>
      </w:r>
    </w:p>
    <w:p>
      <w:pPr>
        <w:ind w:left="600" w:hanging="275"/>
        <w:spacing w:after="0"/>
        <w:tabs>
          <w:tab w:leader="none" w:pos="600" w:val="left"/>
        </w:tabs>
        <w:numPr>
          <w:ilvl w:val="1"/>
          <w:numId w:val="1"/>
        </w:numPr>
        <w:rPr>
          <w:rFonts w:ascii="Arial" w:cs="Arial" w:eastAsia="Arial" w:hAnsi="Arial"/>
          <w:sz w:val="20"/>
          <w:szCs w:val="20"/>
          <w:color w:val="auto"/>
        </w:rPr>
      </w:pPr>
      <w:r>
        <w:rPr>
          <w:rFonts w:ascii="Arial" w:cs="Arial" w:eastAsia="Arial" w:hAnsi="Arial"/>
          <w:sz w:val="20"/>
          <w:szCs w:val="20"/>
          <w:color w:val="auto"/>
        </w:rPr>
        <w:t>Total fee paid:</w:t>
      </w:r>
    </w:p>
    <w:p>
      <w:pPr>
        <w:spacing w:after="0" w:line="109" w:lineRule="exact"/>
        <w:rPr>
          <w:sz w:val="24"/>
          <w:szCs w:val="24"/>
          <w:color w:val="auto"/>
        </w:rPr>
      </w:pPr>
    </w:p>
    <w:p>
      <w:pPr>
        <w:ind w:left="200"/>
        <w:spacing w:after="0"/>
        <w:rPr>
          <w:sz w:val="20"/>
          <w:szCs w:val="20"/>
          <w:color w:val="auto"/>
        </w:rPr>
      </w:pPr>
      <w:r>
        <w:rPr>
          <w:rFonts w:ascii="Arial" w:cs="Arial" w:eastAsia="Arial" w:hAnsi="Arial"/>
          <w:sz w:val="20"/>
          <w:szCs w:val="20"/>
          <w:color w:val="auto"/>
        </w:rPr>
        <w:t>[ ] Fee paid previously with preliminary materials:</w:t>
      </w:r>
    </w:p>
    <w:p>
      <w:pPr>
        <w:ind w:left="340" w:hanging="146"/>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w:t>
      </w:r>
    </w:p>
    <w:p>
      <w:pPr>
        <w:spacing w:after="0" w:line="9" w:lineRule="exact"/>
        <w:rPr>
          <w:rFonts w:ascii="Arial" w:cs="Arial" w:eastAsia="Arial" w:hAnsi="Arial"/>
          <w:sz w:val="16"/>
          <w:szCs w:val="16"/>
          <w:color w:val="auto"/>
        </w:rPr>
      </w:pPr>
    </w:p>
    <w:p>
      <w:pPr>
        <w:ind w:left="340"/>
        <w:spacing w:after="0" w:line="246" w:lineRule="auto"/>
        <w:rPr>
          <w:rFonts w:ascii="Arial" w:cs="Arial" w:eastAsia="Arial" w:hAnsi="Arial"/>
          <w:sz w:val="16"/>
          <w:szCs w:val="16"/>
          <w:color w:val="auto"/>
        </w:rPr>
      </w:pPr>
      <w:r>
        <w:rPr>
          <w:rFonts w:ascii="Arial" w:cs="Arial" w:eastAsia="Arial" w:hAnsi="Arial"/>
          <w:sz w:val="16"/>
          <w:szCs w:val="16"/>
          <w:color w:val="auto"/>
        </w:rPr>
        <w:t>Rule 0-11(a)(2) and identify the filing for which the offsetting fee was paid previously. Identify the previous filing by registration statement number, or the form or schedule and the date of its filing.</w:t>
      </w:r>
    </w:p>
    <w:p>
      <w:pPr>
        <w:ind w:left="600" w:hanging="275"/>
        <w:spacing w:after="0" w:line="191" w:lineRule="auto"/>
        <w:tabs>
          <w:tab w:leader="none" w:pos="600" w:val="left"/>
        </w:tabs>
        <w:numPr>
          <w:ilvl w:val="1"/>
          <w:numId w:val="2"/>
        </w:numPr>
        <w:rPr>
          <w:rFonts w:ascii="Arial" w:cs="Arial" w:eastAsia="Arial" w:hAnsi="Arial"/>
          <w:sz w:val="20"/>
          <w:szCs w:val="20"/>
          <w:color w:val="auto"/>
        </w:rPr>
      </w:pPr>
      <w:r>
        <w:rPr>
          <w:rFonts w:ascii="Arial" w:cs="Arial" w:eastAsia="Arial" w:hAnsi="Arial"/>
          <w:sz w:val="20"/>
          <w:szCs w:val="20"/>
          <w:color w:val="auto"/>
        </w:rPr>
        <w:t>Amount Previously Paid:</w:t>
      </w:r>
    </w:p>
    <w:p>
      <w:pPr>
        <w:ind w:left="600" w:hanging="275"/>
        <w:spacing w:after="0" w:line="191" w:lineRule="auto"/>
        <w:tabs>
          <w:tab w:leader="none" w:pos="600" w:val="left"/>
        </w:tabs>
        <w:numPr>
          <w:ilvl w:val="1"/>
          <w:numId w:val="2"/>
        </w:numPr>
        <w:rPr>
          <w:rFonts w:ascii="Arial" w:cs="Arial" w:eastAsia="Arial" w:hAnsi="Arial"/>
          <w:sz w:val="20"/>
          <w:szCs w:val="20"/>
          <w:color w:val="auto"/>
        </w:rPr>
      </w:pPr>
      <w:r>
        <w:rPr>
          <w:rFonts w:ascii="Arial" w:cs="Arial" w:eastAsia="Arial" w:hAnsi="Arial"/>
          <w:sz w:val="20"/>
          <w:szCs w:val="20"/>
          <w:color w:val="auto"/>
        </w:rPr>
        <w:t>Form, Schedule or Registration Statement no.:</w:t>
      </w:r>
    </w:p>
    <w:p>
      <w:pPr>
        <w:ind w:left="600" w:hanging="275"/>
        <w:spacing w:after="0" w:line="191" w:lineRule="auto"/>
        <w:tabs>
          <w:tab w:leader="none" w:pos="600" w:val="left"/>
        </w:tabs>
        <w:numPr>
          <w:ilvl w:val="1"/>
          <w:numId w:val="2"/>
        </w:numPr>
        <w:rPr>
          <w:rFonts w:ascii="Arial" w:cs="Arial" w:eastAsia="Arial" w:hAnsi="Arial"/>
          <w:sz w:val="20"/>
          <w:szCs w:val="20"/>
          <w:color w:val="auto"/>
        </w:rPr>
      </w:pPr>
      <w:r>
        <w:rPr>
          <w:rFonts w:ascii="Arial" w:cs="Arial" w:eastAsia="Arial" w:hAnsi="Arial"/>
          <w:sz w:val="20"/>
          <w:szCs w:val="20"/>
          <w:color w:val="auto"/>
        </w:rPr>
        <w:t>Filing Party:</w:t>
      </w:r>
    </w:p>
    <w:p>
      <w:pPr>
        <w:ind w:left="600" w:hanging="275"/>
        <w:spacing w:after="0"/>
        <w:tabs>
          <w:tab w:leader="none" w:pos="600" w:val="left"/>
        </w:tabs>
        <w:numPr>
          <w:ilvl w:val="1"/>
          <w:numId w:val="2"/>
        </w:numPr>
        <w:rPr>
          <w:rFonts w:ascii="Arial" w:cs="Arial" w:eastAsia="Arial" w:hAnsi="Arial"/>
          <w:sz w:val="20"/>
          <w:szCs w:val="20"/>
          <w:color w:val="auto"/>
        </w:rPr>
      </w:pPr>
      <w:r>
        <w:rPr>
          <w:rFonts w:ascii="Arial" w:cs="Arial" w:eastAsia="Arial" w:hAnsi="Arial"/>
          <w:sz w:val="20"/>
          <w:szCs w:val="20"/>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714502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0980"/>
          </w:cols>
          <w:pgMar w:left="320" w:top="228" w:right="599" w:bottom="1440" w:gutter="0" w:footer="0" w:header="0"/>
        </w:sectPr>
      </w:pPr>
    </w:p>
    <w:bookmarkStart w:id="1" w:name="page2"/>
    <w:bookmarkEnd w:id="1"/>
    <w:p>
      <w:pPr>
        <w:jc w:val="both"/>
        <w:ind w:firstLine="327"/>
        <w:spacing w:after="0" w:line="225" w:lineRule="auto"/>
        <w:rPr>
          <w:sz w:val="20"/>
          <w:szCs w:val="20"/>
          <w:color w:val="auto"/>
        </w:rPr>
      </w:pPr>
      <w:r>
        <w:rPr>
          <w:rFonts w:ascii="Arial" w:cs="Arial" w:eastAsia="Arial" w:hAnsi="Arial"/>
          <w:sz w:val="19"/>
          <w:szCs w:val="19"/>
          <w:color w:val="auto"/>
        </w:rPr>
        <w:t>MG Capital Management Ltd., together with the other participants named herein (collectively, “MG Capital”), has filed with the Securities and Exchange Commission a definitive consent statement and an accompanying consent card to be used to solicit votes for the election of its slate of director nominees for the Board of Directors of HC2 Holdings, Inc., a Delaware corporation (the “Issuer”).</w:t>
      </w:r>
    </w:p>
    <w:p>
      <w:pPr>
        <w:spacing w:after="0" w:line="121" w:lineRule="exact"/>
        <w:rPr>
          <w:sz w:val="20"/>
          <w:szCs w:val="20"/>
          <w:color w:val="auto"/>
        </w:rPr>
      </w:pPr>
    </w:p>
    <w:p>
      <w:pPr>
        <w:jc w:val="both"/>
        <w:ind w:firstLine="327"/>
        <w:spacing w:after="0" w:line="214" w:lineRule="auto"/>
        <w:rPr>
          <w:sz w:val="20"/>
          <w:szCs w:val="20"/>
          <w:color w:val="auto"/>
        </w:rPr>
      </w:pPr>
      <w:r>
        <w:rPr>
          <w:rFonts w:ascii="Arial" w:cs="Arial" w:eastAsia="Arial" w:hAnsi="Arial"/>
          <w:sz w:val="20"/>
          <w:szCs w:val="20"/>
          <w:color w:val="auto"/>
        </w:rPr>
        <w:t>On April 23, 2020, MG Capital and its affiliates (i) issued the letter attached as Ex. 99.1 to shareholders of the Issuer, (ii) sent the email attached as Ex. 99.2 to shareholders of the Issuer and registered users of their website and (iii) updated their website (www.abetterhc2.com) as attached in Ex. 99.3.</w:t>
      </w:r>
    </w:p>
    <w:p>
      <w:pPr>
        <w:sectPr>
          <w:pgSz w:w="11900" w:h="16838" w:orient="portrait"/>
          <w:cols w:equalWidth="0" w:num="1">
            <w:col w:w="11240"/>
          </w:cols>
          <w:pgMar w:left="320" w:top="329" w:right="339" w:bottom="1440" w:gutter="0" w:footer="0" w:header="0"/>
        </w:sectPr>
      </w:pPr>
    </w:p>
    <w:bookmarkStart w:id="2" w:name="page3"/>
    <w:bookmarkEnd w:id="2"/>
    <w:p>
      <w:pPr>
        <w:spacing w:after="0" w:line="2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2794000</wp:posOffset>
            </wp:positionH>
            <wp:positionV relativeFrom="page">
              <wp:posOffset>322580</wp:posOffset>
            </wp:positionV>
            <wp:extent cx="196151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61515" cy="420370"/>
                    </a:xfrm>
                    <a:prstGeom prst="rect">
                      <a:avLst/>
                    </a:prstGeom>
                    <a:noFill/>
                  </pic:spPr>
                </pic:pic>
              </a:graphicData>
            </a:graphic>
          </wp:anchor>
        </w:drawing>
      </w:r>
    </w:p>
    <w:p>
      <w:pPr>
        <w:ind w:left="2"/>
        <w:spacing w:after="0"/>
        <w:rPr>
          <w:sz w:val="20"/>
          <w:szCs w:val="20"/>
          <w:color w:val="auto"/>
        </w:rPr>
      </w:pPr>
      <w:r>
        <w:rPr>
          <w:rFonts w:ascii="Arial" w:cs="Arial" w:eastAsia="Arial" w:hAnsi="Arial"/>
          <w:sz w:val="20"/>
          <w:szCs w:val="20"/>
          <w:color w:val="auto"/>
        </w:rPr>
        <w:t>April 23, 2020</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20"/>
          <w:szCs w:val="20"/>
          <w:color w:val="auto"/>
        </w:rPr>
        <w:t>Fellow Stockholders:</w:t>
      </w:r>
    </w:p>
    <w:p>
      <w:pPr>
        <w:spacing w:after="0" w:line="138" w:lineRule="exact"/>
        <w:rPr>
          <w:sz w:val="20"/>
          <w:szCs w:val="20"/>
          <w:color w:val="auto"/>
        </w:rPr>
      </w:pPr>
    </w:p>
    <w:p>
      <w:pPr>
        <w:jc w:val="both"/>
        <w:ind w:left="2"/>
        <w:spacing w:after="0" w:line="201" w:lineRule="auto"/>
        <w:rPr>
          <w:sz w:val="20"/>
          <w:szCs w:val="20"/>
          <w:color w:val="auto"/>
        </w:rPr>
      </w:pPr>
      <w:r>
        <w:rPr>
          <w:rFonts w:ascii="Arial" w:cs="Arial" w:eastAsia="Arial" w:hAnsi="Arial"/>
          <w:sz w:val="20"/>
          <w:szCs w:val="20"/>
          <w:color w:val="auto"/>
        </w:rPr>
        <w:t>MG Capital Management, Ltd. (together with Percy Rockdale LLC, the nominating stockholder, and its affiliates, “MG Capital” or “we”), a private investment entity that exclusively invests the personal capital of Michael Gorzynski, owns more than 6% of the outstanding common stock of HC2 Holdings, Inc. (“HC2” or the “Company”). In light of the extraordinary challenges that HC2 faces, including $400 million in unaffordable holding company debt that matures next year, we are running a consent solicitation to replace the entire Board of Directors (the “Board”) with a slate of six highly-accomplished and well-credentialed individuals. We believe the past six years of value destruction at HC2 have shown that Philip Falcone and the incumbent directors lack the credibility, judgement, and skills that will be needed to turn around the Company.</w:t>
      </w:r>
    </w:p>
    <w:p>
      <w:pPr>
        <w:spacing w:after="0" w:line="123" w:lineRule="exact"/>
        <w:rPr>
          <w:sz w:val="20"/>
          <w:szCs w:val="20"/>
          <w:color w:val="auto"/>
        </w:rPr>
      </w:pPr>
    </w:p>
    <w:p>
      <w:pPr>
        <w:jc w:val="both"/>
        <w:ind w:left="2"/>
        <w:spacing w:after="0" w:line="205" w:lineRule="auto"/>
        <w:rPr>
          <w:sz w:val="20"/>
          <w:szCs w:val="20"/>
          <w:color w:val="auto"/>
        </w:rPr>
      </w:pPr>
      <w:r>
        <w:rPr>
          <w:rFonts w:ascii="Arial" w:cs="Arial" w:eastAsia="Arial" w:hAnsi="Arial"/>
          <w:sz w:val="20"/>
          <w:szCs w:val="20"/>
          <w:color w:val="auto"/>
        </w:rPr>
        <w:t>In an apparent attempt to deflect attention away from their abysmal track records, Mr. Falcone and the Board have recently ramped up a cynical, low-road campaign to try to smear the integrity of MG Capital and our nominees. It is clear to us – and hopefully you – that HC2’s leadership is peddling blatant misrepresentations as part of an underhanded attempt to distract stockholders from its legacy of underperformance, debt-fueled acquisitions, self-dealing, and legal and regulatory problems. Unfortunately, the facts highlight that these recent efforts to mislead stockholders is nothing new.</w:t>
      </w:r>
    </w:p>
    <w:p>
      <w:pPr>
        <w:spacing w:after="0" w:line="121" w:lineRule="exact"/>
        <w:rPr>
          <w:sz w:val="20"/>
          <w:szCs w:val="20"/>
          <w:color w:val="auto"/>
        </w:rPr>
      </w:pPr>
    </w:p>
    <w:p>
      <w:pPr>
        <w:jc w:val="both"/>
        <w:ind w:left="2"/>
        <w:spacing w:after="0" w:line="258" w:lineRule="auto"/>
        <w:rPr>
          <w:sz w:val="20"/>
          <w:szCs w:val="20"/>
          <w:color w:val="auto"/>
        </w:rPr>
      </w:pPr>
      <w:r>
        <w:rPr>
          <w:rFonts w:ascii="Arial" w:cs="Arial" w:eastAsia="Arial" w:hAnsi="Arial"/>
          <w:sz w:val="17"/>
          <w:szCs w:val="17"/>
          <w:color w:val="auto"/>
        </w:rPr>
        <w:t>Instead of acting with honesty or integrity when filing its Consent Revocation Statement last month, HC2 threatened to wreak havoc on common stockholders if our nominees were elected. HC2 inserted disingenuous and misleading language, which implied that a change in control of the Board would require the Company to prioritize an immediate and large payment to holders of preferred securities:</w:t>
      </w:r>
    </w:p>
    <w:p>
      <w:pPr>
        <w:spacing w:after="0" w:line="105" w:lineRule="exact"/>
        <w:rPr>
          <w:sz w:val="20"/>
          <w:szCs w:val="20"/>
          <w:color w:val="auto"/>
        </w:rPr>
      </w:pPr>
    </w:p>
    <w:p>
      <w:pPr>
        <w:jc w:val="both"/>
        <w:ind w:left="2"/>
        <w:spacing w:after="0" w:line="221" w:lineRule="auto"/>
        <w:rPr>
          <w:sz w:val="20"/>
          <w:szCs w:val="20"/>
          <w:color w:val="auto"/>
        </w:rPr>
      </w:pPr>
      <w:r>
        <w:rPr>
          <w:rFonts w:ascii="Arial" w:cs="Arial" w:eastAsia="Arial" w:hAnsi="Arial"/>
          <w:sz w:val="20"/>
          <w:szCs w:val="20"/>
          <w:i w:val="1"/>
          <w:iCs w:val="1"/>
          <w:color w:val="FF0000"/>
        </w:rPr>
        <w:t>“The Company may not have sufficient proceeds or the financing available to fund the offer to redeem the Preferred Stock. In such instance, the Company cannot assure stockholders that it would be able to obtain the financing to fund the offer to redeem all of the Preferred Stock on commercially reasonable terms, if at all.”</w:t>
      </w:r>
      <w:r>
        <w:rPr>
          <w:rFonts w:ascii="Arial" w:cs="Arial" w:eastAsia="Arial" w:hAnsi="Arial"/>
          <w:sz w:val="32"/>
          <w:szCs w:val="32"/>
          <w:i w:val="1"/>
          <w:iCs w:val="1"/>
          <w:color w:val="FF0000"/>
          <w:vertAlign w:val="superscript"/>
        </w:rPr>
        <w:t>1</w:t>
      </w:r>
    </w:p>
    <w:p>
      <w:pPr>
        <w:spacing w:after="0" w:line="1" w:lineRule="exact"/>
        <w:rPr>
          <w:sz w:val="20"/>
          <w:szCs w:val="20"/>
          <w:color w:val="auto"/>
        </w:rPr>
      </w:pPr>
    </w:p>
    <w:p>
      <w:pPr>
        <w:jc w:val="both"/>
        <w:ind w:left="2"/>
        <w:spacing w:after="0" w:line="208" w:lineRule="auto"/>
        <w:rPr>
          <w:sz w:val="20"/>
          <w:szCs w:val="20"/>
          <w:color w:val="auto"/>
        </w:rPr>
      </w:pPr>
      <w:r>
        <w:rPr>
          <w:rFonts w:ascii="Arial" w:cs="Arial" w:eastAsia="Arial" w:hAnsi="Arial"/>
          <w:sz w:val="20"/>
          <w:szCs w:val="20"/>
          <w:color w:val="auto"/>
        </w:rPr>
        <w:t>What HC2 did not disclose is that the Board has the power to approve the election of our nominees and grant a waiver that would spare stockholders the risk of being wiped out. The Board only agreed to provide this waiver to us after two other stockholders filed a lawsuit seeking to invalidate all of HC2’s revocation of consents:</w:t>
      </w:r>
    </w:p>
    <w:p>
      <w:pPr>
        <w:spacing w:after="0" w:line="121" w:lineRule="exact"/>
        <w:rPr>
          <w:sz w:val="20"/>
          <w:szCs w:val="20"/>
          <w:color w:val="auto"/>
        </w:rPr>
      </w:pPr>
    </w:p>
    <w:p>
      <w:pPr>
        <w:jc w:val="both"/>
        <w:ind w:left="2"/>
        <w:spacing w:after="0" w:line="232" w:lineRule="auto"/>
        <w:rPr>
          <w:sz w:val="20"/>
          <w:szCs w:val="20"/>
          <w:color w:val="auto"/>
        </w:rPr>
      </w:pPr>
      <w:r>
        <w:rPr>
          <w:rFonts w:ascii="Arial" w:cs="Arial" w:eastAsia="Arial" w:hAnsi="Arial"/>
          <w:sz w:val="20"/>
          <w:szCs w:val="20"/>
          <w:i w:val="1"/>
          <w:iCs w:val="1"/>
          <w:color w:val="FF0000"/>
        </w:rPr>
        <w:t>“In response (to the Consent Solicitation), the HC2 Board is both misleading the electorate about the nature of the Company’s proxy put obligations and acting in bad faith by refusing to permit a free and fair election.”</w:t>
      </w:r>
      <w:r>
        <w:rPr>
          <w:rFonts w:ascii="Arial" w:cs="Arial" w:eastAsia="Arial" w:hAnsi="Arial"/>
          <w:sz w:val="32"/>
          <w:szCs w:val="32"/>
          <w:i w:val="1"/>
          <w:iCs w:val="1"/>
          <w:color w:val="FF0000"/>
          <w:vertAlign w:val="superscript"/>
        </w:rPr>
        <w:t>2</w:t>
      </w:r>
    </w:p>
    <w:p>
      <w:pPr>
        <w:spacing w:after="0" w:line="2" w:lineRule="exact"/>
        <w:rPr>
          <w:sz w:val="20"/>
          <w:szCs w:val="20"/>
          <w:color w:val="auto"/>
        </w:rPr>
      </w:pPr>
    </w:p>
    <w:p>
      <w:pPr>
        <w:jc w:val="both"/>
        <w:ind w:left="2"/>
        <w:spacing w:after="0" w:line="235" w:lineRule="auto"/>
        <w:rPr>
          <w:sz w:val="20"/>
          <w:szCs w:val="20"/>
          <w:color w:val="auto"/>
        </w:rPr>
      </w:pPr>
      <w:r>
        <w:rPr>
          <w:rFonts w:ascii="Arial" w:cs="Arial" w:eastAsia="Arial" w:hAnsi="Arial"/>
          <w:sz w:val="19"/>
          <w:szCs w:val="19"/>
          <w:i w:val="1"/>
          <w:iCs w:val="1"/>
          <w:color w:val="FF0000"/>
        </w:rPr>
        <w:t>“In bad faith, the Board declined to disclose to HC2 stockholders that the Board has the power to “approve” the nomination or election of the Dissident Director Nominees for the limited purpose of not triggering the redemption of $27 million in Preferred Stock...”</w:t>
      </w:r>
      <w:r>
        <w:rPr>
          <w:rFonts w:ascii="Arial" w:cs="Arial" w:eastAsia="Arial" w:hAnsi="Arial"/>
          <w:sz w:val="31"/>
          <w:szCs w:val="31"/>
          <w:i w:val="1"/>
          <w:iCs w:val="1"/>
          <w:color w:val="FF0000"/>
          <w:vertAlign w:val="superscript"/>
        </w:rPr>
        <w:t>3</w:t>
      </w:r>
    </w:p>
    <w:p>
      <w:pPr>
        <w:spacing w:after="0" w:line="1" w:lineRule="exact"/>
        <w:rPr>
          <w:sz w:val="20"/>
          <w:szCs w:val="20"/>
          <w:color w:val="auto"/>
        </w:rPr>
      </w:pPr>
    </w:p>
    <w:p>
      <w:pPr>
        <w:jc w:val="both"/>
        <w:ind w:left="2"/>
        <w:spacing w:after="0" w:line="257" w:lineRule="auto"/>
        <w:rPr>
          <w:sz w:val="20"/>
          <w:szCs w:val="20"/>
          <w:color w:val="auto"/>
        </w:rPr>
      </w:pPr>
      <w:r>
        <w:rPr>
          <w:rFonts w:ascii="Arial" w:cs="Arial" w:eastAsia="Arial" w:hAnsi="Arial"/>
          <w:sz w:val="19"/>
          <w:szCs w:val="19"/>
          <w:color w:val="auto"/>
        </w:rPr>
        <w:t>The sum total of HC2’s recent efforts compels us to set the record straight and make sure you have all the necessary information regarding our world-class nominees and their superior strategy to deliver an estimated $9 per share in value for all stockholders.</w:t>
      </w:r>
      <w:r>
        <w:rPr>
          <w:rFonts w:ascii="Arial" w:cs="Arial" w:eastAsia="Arial" w:hAnsi="Arial"/>
          <w:sz w:val="31"/>
          <w:szCs w:val="3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319405</wp:posOffset>
            </wp:positionV>
            <wp:extent cx="14941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82" w:hanging="82"/>
        <w:spacing w:after="0"/>
        <w:tabs>
          <w:tab w:leader="none" w:pos="82" w:val="left"/>
        </w:tabs>
        <w:numPr>
          <w:ilvl w:val="0"/>
          <w:numId w:val="3"/>
        </w:numPr>
        <w:rPr>
          <w:rFonts w:ascii="Arial" w:cs="Arial" w:eastAsia="Arial" w:hAnsi="Arial"/>
          <w:sz w:val="22"/>
          <w:szCs w:val="22"/>
          <w:color w:val="auto"/>
          <w:vertAlign w:val="superscript"/>
        </w:rPr>
      </w:pPr>
      <w:r>
        <w:rPr>
          <w:rFonts w:ascii="Arial" w:cs="Arial" w:eastAsia="Arial" w:hAnsi="Arial"/>
          <w:sz w:val="13"/>
          <w:szCs w:val="13"/>
          <w:color w:val="auto"/>
        </w:rPr>
        <w:t>HC2 Holdings’ Definitive Consent Revocation Statement.</w:t>
      </w:r>
    </w:p>
    <w:p>
      <w:pPr>
        <w:ind w:left="82" w:hanging="82"/>
        <w:spacing w:after="0" w:line="186" w:lineRule="auto"/>
        <w:tabs>
          <w:tab w:leader="none" w:pos="82"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Tera v. HC2 Holdings Inc., Del. Ch., No. 2020-0275, complaint filed 4/13/20.</w:t>
      </w:r>
    </w:p>
    <w:p>
      <w:pPr>
        <w:ind w:left="2"/>
        <w:spacing w:after="0" w:line="185" w:lineRule="auto"/>
        <w:rPr>
          <w:rFonts w:ascii="Arial" w:cs="Arial" w:eastAsia="Arial" w:hAnsi="Arial"/>
          <w:sz w:val="17"/>
          <w:szCs w:val="17"/>
          <w:color w:val="auto"/>
          <w:vertAlign w:val="superscript"/>
        </w:rPr>
      </w:pPr>
      <w:r>
        <w:rPr>
          <w:rFonts w:ascii="Arial" w:cs="Arial" w:eastAsia="Arial" w:hAnsi="Arial"/>
          <w:sz w:val="16"/>
          <w:szCs w:val="16"/>
          <w:color w:val="auto"/>
          <w:vertAlign w:val="superscript"/>
        </w:rPr>
        <w:t>3</w:t>
      </w:r>
      <w:r>
        <w:rPr>
          <w:rFonts w:ascii="Arial" w:cs="Arial" w:eastAsia="Arial" w:hAnsi="Arial"/>
          <w:sz w:val="11"/>
          <w:szCs w:val="11"/>
          <w:color w:val="auto"/>
        </w:rPr>
        <w:t xml:space="preserve"> Tera v. HC2 Holdings Inc., Del. Ch., No. 2020-0275, complaint filed 4/13/20.</w:t>
      </w:r>
    </w:p>
    <w:p>
      <w:pPr>
        <w:ind w:left="122" w:hanging="122"/>
        <w:spacing w:after="0" w:line="184" w:lineRule="auto"/>
        <w:tabs>
          <w:tab w:leader="none" w:pos="122" w:val="left"/>
        </w:tabs>
        <w:numPr>
          <w:ilvl w:val="0"/>
          <w:numId w:val="5"/>
        </w:numPr>
        <w:rPr>
          <w:rFonts w:ascii="Arial" w:cs="Arial" w:eastAsia="Arial" w:hAnsi="Arial"/>
          <w:sz w:val="25"/>
          <w:szCs w:val="25"/>
          <w:color w:val="auto"/>
          <w:vertAlign w:val="superscript"/>
        </w:rPr>
      </w:pPr>
      <w:r>
        <w:rPr>
          <w:rFonts w:ascii="Arial" w:cs="Arial" w:eastAsia="Arial" w:hAnsi="Arial"/>
          <w:sz w:val="11"/>
          <w:szCs w:val="11"/>
          <w:color w:val="auto"/>
        </w:rPr>
        <w:t>MG Capital presentation entitled “Time for a Better Board and Vision,” dated April 13, 2020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4502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1440" w:right="339" w:bottom="1440" w:gutter="0" w:footer="0" w:header="0"/>
        </w:sectPr>
      </w:pPr>
    </w:p>
    <w:bookmarkStart w:id="3" w:name="page4"/>
    <w:bookmarkEnd w:id="3"/>
    <w:p>
      <w:pPr>
        <w:jc w:val="center"/>
        <w:ind w:right="-1"/>
        <w:spacing w:after="0"/>
        <w:rPr>
          <w:sz w:val="20"/>
          <w:szCs w:val="20"/>
          <w:color w:val="auto"/>
        </w:rPr>
      </w:pPr>
      <w:r>
        <w:rPr>
          <w:rFonts w:ascii="Arial" w:cs="Arial" w:eastAsia="Arial" w:hAnsi="Arial"/>
          <w:sz w:val="20"/>
          <w:szCs w:val="20"/>
          <w:b w:val="1"/>
          <w:bCs w:val="1"/>
          <w:i w:val="1"/>
          <w:iCs w:val="1"/>
          <w:u w:val="single" w:color="auto"/>
          <w:color w:val="auto"/>
        </w:rPr>
        <w:t>TIME TO SEPARATE FICTION FROM REALITY – DO NOT LET THE BOARD DECEIVE YOU!</w:t>
      </w:r>
    </w:p>
    <w:p>
      <w:pPr>
        <w:spacing w:after="0" w:line="138" w:lineRule="exact"/>
        <w:rPr>
          <w:sz w:val="20"/>
          <w:szCs w:val="20"/>
          <w:color w:val="auto"/>
        </w:rPr>
      </w:pPr>
    </w:p>
    <w:p>
      <w:pPr>
        <w:jc w:val="both"/>
        <w:ind w:left="2"/>
        <w:spacing w:after="0" w:line="182" w:lineRule="auto"/>
        <w:rPr>
          <w:sz w:val="20"/>
          <w:szCs w:val="20"/>
          <w:color w:val="auto"/>
        </w:rPr>
      </w:pPr>
      <w:r>
        <w:rPr>
          <w:rFonts w:ascii="Arial" w:cs="Arial" w:eastAsia="Arial" w:hAnsi="Arial"/>
          <w:sz w:val="20"/>
          <w:szCs w:val="20"/>
          <w:color w:val="auto"/>
        </w:rPr>
        <w:t>In a late-night letter to stockholders on April 16, HC2 claimed MG Capital is touting “false narratives” and offered a version of what they conceive as “the truth” wrapped in more spin.</w:t>
      </w:r>
      <w:r>
        <w:rPr>
          <w:rFonts w:ascii="Arial" w:cs="Arial" w:eastAsia="Arial" w:hAnsi="Arial"/>
          <w:sz w:val="32"/>
          <w:szCs w:val="32"/>
          <w:color w:val="auto"/>
          <w:vertAlign w:val="superscript"/>
        </w:rPr>
        <w:t>5</w:t>
      </w:r>
      <w:r>
        <w:rPr>
          <w:rFonts w:ascii="Arial" w:cs="Arial" w:eastAsia="Arial" w:hAnsi="Arial"/>
          <w:sz w:val="20"/>
          <w:szCs w:val="20"/>
          <w:color w:val="auto"/>
        </w:rPr>
        <w:t xml:space="preserve"> Today, MG Capital – which is completely aligned with you – is once again laying out the indisputable realities.</w:t>
      </w:r>
    </w:p>
    <w:p>
      <w:pPr>
        <w:spacing w:after="0" w:line="120" w:lineRule="exact"/>
        <w:rPr>
          <w:sz w:val="20"/>
          <w:szCs w:val="20"/>
          <w:color w:val="auto"/>
        </w:rPr>
      </w:pPr>
    </w:p>
    <w:p>
      <w:pPr>
        <w:jc w:val="both"/>
        <w:ind w:left="2"/>
        <w:spacing w:after="0" w:line="225" w:lineRule="auto"/>
        <w:rPr>
          <w:sz w:val="20"/>
          <w:szCs w:val="20"/>
          <w:color w:val="auto"/>
        </w:rPr>
      </w:pPr>
      <w:r>
        <w:rPr>
          <w:rFonts w:ascii="Arial" w:cs="Arial" w:eastAsia="Arial" w:hAnsi="Arial"/>
          <w:sz w:val="20"/>
          <w:szCs w:val="20"/>
          <w:color w:val="auto"/>
        </w:rPr>
        <w:t>We believe stockholders should ask themselves a simple question prior to voting: can I really trust that the incumbent directors will help HC2 avert financial ruin when they cannot even be trusted to tell the truth?</w:t>
      </w:r>
    </w:p>
    <w:p>
      <w:pPr>
        <w:spacing w:after="0" w:line="132" w:lineRule="exact"/>
        <w:rPr>
          <w:sz w:val="20"/>
          <w:szCs w:val="20"/>
          <w:color w:val="auto"/>
        </w:rPr>
      </w:pPr>
    </w:p>
    <w:tbl>
      <w:tblPr>
        <w:tblLayout w:type="fixed"/>
        <w:tblInd w:w="12" w:type="dxa"/>
        <w:tblCellMar>
          <w:top w:w="0" w:type="dxa"/>
          <w:left w:w="0" w:type="dxa"/>
          <w:bottom w:w="0" w:type="dxa"/>
          <w:right w:w="0" w:type="dxa"/>
        </w:tblCellMar>
      </w:tblPr>
      <w:tr>
        <w:trPr>
          <w:trHeight w:val="286"/>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FF0000"/>
                <w:w w:val="89"/>
              </w:rPr>
              <w:t>HC2’s Misleading Governance Assertions</w:t>
            </w:r>
          </w:p>
        </w:tc>
        <w:tc>
          <w:tcPr>
            <w:tcW w:w="5600" w:type="dxa"/>
            <w:vAlign w:val="bottom"/>
            <w:tcBorders>
              <w:top w:val="single" w:sz="8" w:color="auto"/>
              <w:bottom w:val="single" w:sz="8" w:color="002060"/>
              <w:right w:val="single" w:sz="8" w:color="auto"/>
            </w:tcBorders>
            <w:shd w:val="clear" w:color="auto" w:fill="002060"/>
          </w:tcPr>
          <w:p>
            <w:pPr>
              <w:jc w:val="center"/>
              <w:spacing w:after="0"/>
              <w:rPr>
                <w:sz w:val="20"/>
                <w:szCs w:val="20"/>
                <w:color w:val="auto"/>
              </w:rPr>
            </w:pPr>
            <w:r>
              <w:rPr>
                <w:rFonts w:ascii="Arial" w:cs="Arial" w:eastAsia="Arial" w:hAnsi="Arial"/>
                <w:sz w:val="16"/>
                <w:szCs w:val="16"/>
                <w:b w:val="1"/>
                <w:bCs w:val="1"/>
                <w:i w:val="1"/>
                <w:iCs w:val="1"/>
                <w:color w:val="FFFFFF"/>
                <w:w w:val="91"/>
              </w:rPr>
              <w:t>MG Capital’s Reality Check</w:t>
            </w:r>
          </w:p>
        </w:tc>
        <w:tc>
          <w:tcPr>
            <w:tcW w:w="0" w:type="dxa"/>
            <w:vAlign w:val="bottom"/>
          </w:tcPr>
          <w:p>
            <w:pPr>
              <w:spacing w:after="0"/>
              <w:rPr>
                <w:sz w:val="1"/>
                <w:szCs w:val="1"/>
                <w:color w:val="auto"/>
              </w:rPr>
            </w:pPr>
          </w:p>
        </w:tc>
      </w:tr>
      <w:tr>
        <w:trPr>
          <w:trHeight w:val="204"/>
        </w:trPr>
        <w:tc>
          <w:tcPr>
            <w:tcW w:w="5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3"/>
              </w:rPr>
              <w:t>“All of the Independent Directors are truly independent and meet NYSE</w:t>
            </w:r>
          </w:p>
        </w:tc>
        <w:tc>
          <w:tcPr>
            <w:tcW w:w="5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At least 60% of the independent directors have past ties to Mr. Falcone,</w:t>
            </w:r>
          </w:p>
        </w:tc>
        <w:tc>
          <w:tcPr>
            <w:tcW w:w="0" w:type="dxa"/>
            <w:vAlign w:val="bottom"/>
          </w:tcPr>
          <w:p>
            <w:pPr>
              <w:spacing w:after="0"/>
              <w:rPr>
                <w:sz w:val="1"/>
                <w:szCs w:val="1"/>
                <w:color w:val="auto"/>
              </w:rPr>
            </w:pPr>
          </w:p>
        </w:tc>
      </w:tr>
      <w:tr>
        <w:trPr>
          <w:trHeight w:val="90"/>
        </w:trPr>
        <w:tc>
          <w:tcPr>
            <w:tcW w:w="5640" w:type="dxa"/>
            <w:vAlign w:val="bottom"/>
            <w:tcBorders>
              <w:left w:val="single" w:sz="8" w:color="auto"/>
              <w:right w:val="single" w:sz="8" w:color="auto"/>
            </w:tcBorders>
            <w:vMerge w:val="continue"/>
          </w:tcPr>
          <w:p>
            <w:pPr>
              <w:spacing w:after="0"/>
              <w:rPr>
                <w:sz w:val="7"/>
                <w:szCs w:val="7"/>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 xml:space="preserve">undermining HC2’s claims of “strong independence.” </w:t>
            </w:r>
            <w:r>
              <w:rPr>
                <w:rFonts w:ascii="Arial" w:cs="Arial" w:eastAsia="Arial" w:hAnsi="Arial"/>
                <w:sz w:val="16"/>
                <w:szCs w:val="16"/>
                <w:b w:val="1"/>
                <w:bCs w:val="1"/>
                <w:color w:val="auto"/>
                <w:w w:val="93"/>
              </w:rPr>
              <w:t>The Board’s lack of real</w:t>
            </w:r>
          </w:p>
        </w:tc>
        <w:tc>
          <w:tcPr>
            <w:tcW w:w="0" w:type="dxa"/>
            <w:vAlign w:val="bottom"/>
          </w:tcPr>
          <w:p>
            <w:pPr>
              <w:spacing w:after="0"/>
              <w:rPr>
                <w:sz w:val="1"/>
                <w:szCs w:val="1"/>
                <w:color w:val="auto"/>
              </w:rPr>
            </w:pPr>
          </w:p>
        </w:tc>
      </w:tr>
      <w:tr>
        <w:trPr>
          <w:trHeight w:val="9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3"/>
              </w:rPr>
              <w:t>independence requirements, with 4 of the 5 Independent. Directors having no prior</w:t>
            </w:r>
          </w:p>
        </w:tc>
        <w:tc>
          <w:tcPr>
            <w:tcW w:w="5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40" w:type="dxa"/>
            <w:vAlign w:val="bottom"/>
            <w:tcBorders>
              <w:left w:val="single" w:sz="8" w:color="auto"/>
              <w:right w:val="single" w:sz="8" w:color="auto"/>
            </w:tcBorders>
            <w:vMerge w:val="continue"/>
          </w:tcPr>
          <w:p>
            <w:pPr>
              <w:spacing w:after="0"/>
              <w:rPr>
                <w:sz w:val="7"/>
                <w:szCs w:val="7"/>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oversight is evidenced by HC2’s well-documented underperformance, waste</w:t>
            </w:r>
          </w:p>
        </w:tc>
        <w:tc>
          <w:tcPr>
            <w:tcW w:w="0" w:type="dxa"/>
            <w:vAlign w:val="bottom"/>
          </w:tcPr>
          <w:p>
            <w:pPr>
              <w:spacing w:after="0"/>
              <w:rPr>
                <w:sz w:val="1"/>
                <w:szCs w:val="1"/>
                <w:color w:val="auto"/>
              </w:rPr>
            </w:pPr>
          </w:p>
        </w:tc>
      </w:tr>
      <w:tr>
        <w:trPr>
          <w:trHeight w:val="9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3"/>
              </w:rPr>
              <w:t>relationship with HC2’s executive management team.”</w:t>
            </w:r>
          </w:p>
        </w:tc>
        <w:tc>
          <w:tcPr>
            <w:tcW w:w="5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640" w:type="dxa"/>
            <w:vAlign w:val="bottom"/>
            <w:tcBorders>
              <w:left w:val="single" w:sz="8" w:color="auto"/>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and self-dealing.</w:t>
            </w:r>
          </w:p>
        </w:tc>
        <w:tc>
          <w:tcPr>
            <w:tcW w:w="0" w:type="dxa"/>
            <w:vAlign w:val="bottom"/>
          </w:tcPr>
          <w:p>
            <w:pPr>
              <w:spacing w:after="0"/>
              <w:rPr>
                <w:sz w:val="1"/>
                <w:szCs w:val="1"/>
                <w:color w:val="auto"/>
              </w:rPr>
            </w:pPr>
          </w:p>
        </w:tc>
      </w:tr>
      <w:tr>
        <w:trPr>
          <w:trHeight w:val="98"/>
        </w:trPr>
        <w:tc>
          <w:tcPr>
            <w:tcW w:w="5640" w:type="dxa"/>
            <w:vAlign w:val="bottom"/>
            <w:tcBorders>
              <w:left w:val="single" w:sz="8" w:color="auto"/>
              <w:right w:val="single" w:sz="8" w:color="auto"/>
            </w:tcBorders>
          </w:tcPr>
          <w:p>
            <w:pPr>
              <w:spacing w:after="0"/>
              <w:rPr>
                <w:sz w:val="8"/>
                <w:szCs w:val="8"/>
                <w:color w:val="auto"/>
              </w:rPr>
            </w:pPr>
          </w:p>
        </w:tc>
        <w:tc>
          <w:tcPr>
            <w:tcW w:w="5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Mr. Falcone is banned from the securities industry, banned from the insurance</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2"/>
              </w:rPr>
              <w:t>“HC2 does not face any regulatory concerns outside of those considered normal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sector, has run afoul with New York tax authorities, and HC2’s Continental General</w:t>
            </w:r>
          </w:p>
        </w:tc>
        <w:tc>
          <w:tcPr>
            <w:tcW w:w="0" w:type="dxa"/>
            <w:vAlign w:val="bottom"/>
          </w:tcPr>
          <w:p>
            <w:pPr>
              <w:spacing w:after="0"/>
              <w:rPr>
                <w:sz w:val="1"/>
                <w:szCs w:val="1"/>
                <w:color w:val="auto"/>
              </w:rPr>
            </w:pPr>
          </w:p>
        </w:tc>
      </w:tr>
      <w:tr>
        <w:trPr>
          <w:trHeight w:val="86"/>
        </w:trPr>
        <w:tc>
          <w:tcPr>
            <w:tcW w:w="5640" w:type="dxa"/>
            <w:vAlign w:val="bottom"/>
            <w:tcBorders>
              <w:left w:val="single" w:sz="8" w:color="auto"/>
              <w:right w:val="single" w:sz="8" w:color="auto"/>
            </w:tcBorders>
            <w:vMerge w:val="continue"/>
          </w:tcPr>
          <w:p>
            <w:pPr>
              <w:spacing w:after="0"/>
              <w:rPr>
                <w:sz w:val="7"/>
                <w:szCs w:val="7"/>
                <w:color w:val="auto"/>
              </w:rPr>
            </w:pPr>
          </w:p>
        </w:tc>
        <w:tc>
          <w:tcPr>
            <w:tcW w:w="5600" w:type="dxa"/>
            <w:vAlign w:val="bottom"/>
            <w:tcBorders>
              <w:right w:val="single" w:sz="8" w:color="auto"/>
            </w:tcBorders>
            <w:vMerge w:val="restart"/>
          </w:tcPr>
          <w:p>
            <w:pPr>
              <w:jc w:val="center"/>
              <w:spacing w:after="0" w:line="180" w:lineRule="exact"/>
              <w:rPr>
                <w:sz w:val="20"/>
                <w:szCs w:val="20"/>
                <w:color w:val="auto"/>
              </w:rPr>
            </w:pPr>
            <w:r>
              <w:rPr>
                <w:rFonts w:ascii="Arial" w:cs="Arial" w:eastAsia="Arial" w:hAnsi="Arial"/>
                <w:sz w:val="16"/>
                <w:szCs w:val="16"/>
                <w:color w:val="auto"/>
                <w:w w:val="92"/>
              </w:rPr>
              <w:t>is in the middle of an active investigation by the Texas Department of Insurance.</w:t>
            </w:r>
          </w:p>
        </w:tc>
        <w:tc>
          <w:tcPr>
            <w:tcW w:w="0" w:type="dxa"/>
            <w:vAlign w:val="bottom"/>
          </w:tcPr>
          <w:p>
            <w:pPr>
              <w:spacing w:after="0"/>
              <w:rPr>
                <w:sz w:val="1"/>
                <w:szCs w:val="1"/>
                <w:color w:val="auto"/>
              </w:rPr>
            </w:pPr>
          </w:p>
        </w:tc>
      </w:tr>
      <w:tr>
        <w:trPr>
          <w:trHeight w:val="9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2"/>
              </w:rPr>
              <w:t>course of business for a public company.”</w:t>
            </w:r>
          </w:p>
        </w:tc>
        <w:tc>
          <w:tcPr>
            <w:tcW w:w="5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640" w:type="dxa"/>
            <w:vAlign w:val="bottom"/>
            <w:tcBorders>
              <w:left w:val="single" w:sz="8" w:color="auto"/>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This laundry list of regulatory issues is problematic for any person stewarding</w:t>
            </w:r>
          </w:p>
        </w:tc>
        <w:tc>
          <w:tcPr>
            <w:tcW w:w="0" w:type="dxa"/>
            <w:vAlign w:val="bottom"/>
          </w:tcPr>
          <w:p>
            <w:pPr>
              <w:spacing w:after="0"/>
              <w:rPr>
                <w:sz w:val="1"/>
                <w:szCs w:val="1"/>
                <w:color w:val="auto"/>
              </w:rPr>
            </w:pPr>
          </w:p>
        </w:tc>
      </w:tr>
      <w:tr>
        <w:trPr>
          <w:trHeight w:val="70"/>
        </w:trPr>
        <w:tc>
          <w:tcPr>
            <w:tcW w:w="5640" w:type="dxa"/>
            <w:vAlign w:val="bottom"/>
            <w:tcBorders>
              <w:left w:val="single" w:sz="8" w:color="auto"/>
              <w:right w:val="single" w:sz="8" w:color="auto"/>
            </w:tcBorders>
          </w:tcPr>
          <w:p>
            <w:pPr>
              <w:spacing w:after="0"/>
              <w:rPr>
                <w:sz w:val="6"/>
                <w:szCs w:val="6"/>
                <w:color w:val="auto"/>
              </w:rPr>
            </w:pPr>
          </w:p>
        </w:tc>
        <w:tc>
          <w:tcPr>
            <w:tcW w:w="5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investor capital.</w:t>
            </w: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2"/>
              </w:rPr>
              <w:t>“HC2 already reduced overhead by 40% over the past 3 years and is committed to</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HC2 has spent $25 million-$30 million per year in overhead, while still leasing</w:t>
            </w:r>
          </w:p>
        </w:tc>
        <w:tc>
          <w:tcPr>
            <w:tcW w:w="0" w:type="dxa"/>
            <w:vAlign w:val="bottom"/>
          </w:tcPr>
          <w:p>
            <w:pPr>
              <w:spacing w:after="0"/>
              <w:rPr>
                <w:sz w:val="1"/>
                <w:szCs w:val="1"/>
                <w:color w:val="auto"/>
              </w:rPr>
            </w:pPr>
          </w:p>
        </w:tc>
      </w:tr>
      <w:tr>
        <w:trPr>
          <w:trHeight w:val="90"/>
        </w:trPr>
        <w:tc>
          <w:tcPr>
            <w:tcW w:w="5640" w:type="dxa"/>
            <w:vAlign w:val="bottom"/>
            <w:tcBorders>
              <w:left w:val="single" w:sz="8" w:color="auto"/>
              <w:right w:val="single" w:sz="8" w:color="auto"/>
            </w:tcBorders>
            <w:vMerge w:val="continue"/>
          </w:tcPr>
          <w:p>
            <w:pPr>
              <w:spacing w:after="0"/>
              <w:rPr>
                <w:sz w:val="7"/>
                <w:szCs w:val="7"/>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lavish offices and paying millions to Harbinger Capital Partners through an</w:t>
            </w:r>
          </w:p>
        </w:tc>
        <w:tc>
          <w:tcPr>
            <w:tcW w:w="0" w:type="dxa"/>
            <w:vAlign w:val="bottom"/>
          </w:tcPr>
          <w:p>
            <w:pPr>
              <w:spacing w:after="0"/>
              <w:rPr>
                <w:sz w:val="1"/>
                <w:szCs w:val="1"/>
                <w:color w:val="auto"/>
              </w:rPr>
            </w:pPr>
          </w:p>
        </w:tc>
      </w:tr>
      <w:tr>
        <w:trPr>
          <w:trHeight w:val="9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3"/>
              </w:rPr>
              <w:t>further reductions in the near future.”</w:t>
            </w:r>
          </w:p>
        </w:tc>
        <w:tc>
          <w:tcPr>
            <w:tcW w:w="5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640" w:type="dxa"/>
            <w:vAlign w:val="bottom"/>
            <w:tcBorders>
              <w:left w:val="single" w:sz="8" w:color="auto"/>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8"/>
              </w:rPr>
              <w:t>opaque services agreement.</w:t>
            </w:r>
          </w:p>
        </w:tc>
        <w:tc>
          <w:tcPr>
            <w:tcW w:w="0" w:type="dxa"/>
            <w:vAlign w:val="bottom"/>
          </w:tcPr>
          <w:p>
            <w:pPr>
              <w:spacing w:after="0"/>
              <w:rPr>
                <w:sz w:val="1"/>
                <w:szCs w:val="1"/>
                <w:color w:val="auto"/>
              </w:rPr>
            </w:pPr>
          </w:p>
        </w:tc>
      </w:tr>
      <w:tr>
        <w:trPr>
          <w:trHeight w:val="98"/>
        </w:trPr>
        <w:tc>
          <w:tcPr>
            <w:tcW w:w="5640" w:type="dxa"/>
            <w:vAlign w:val="bottom"/>
            <w:tcBorders>
              <w:left w:val="single" w:sz="8" w:color="auto"/>
              <w:right w:val="single" w:sz="8" w:color="auto"/>
            </w:tcBorders>
          </w:tcPr>
          <w:p>
            <w:pPr>
              <w:spacing w:after="0"/>
              <w:rPr>
                <w:sz w:val="8"/>
                <w:szCs w:val="8"/>
                <w:color w:val="auto"/>
              </w:rPr>
            </w:pPr>
          </w:p>
        </w:tc>
        <w:tc>
          <w:tcPr>
            <w:tcW w:w="5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Mr. Falcone’s financial issues are so extraordinary that we cannot find one other</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3"/>
              </w:rPr>
              <w:t>“Mr. Gorzynski is distracting stockholders with Mr. Falcone’s personal matters to</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example of a public company executive facing comparable woes. He is being sued</w:t>
            </w:r>
          </w:p>
        </w:tc>
        <w:tc>
          <w:tcPr>
            <w:tcW w:w="0" w:type="dxa"/>
            <w:vAlign w:val="bottom"/>
          </w:tcPr>
          <w:p>
            <w:pPr>
              <w:spacing w:after="0"/>
              <w:rPr>
                <w:sz w:val="1"/>
                <w:szCs w:val="1"/>
                <w:color w:val="auto"/>
              </w:rPr>
            </w:pPr>
          </w:p>
        </w:tc>
      </w:tr>
      <w:tr>
        <w:trPr>
          <w:trHeight w:val="86"/>
        </w:trPr>
        <w:tc>
          <w:tcPr>
            <w:tcW w:w="5640" w:type="dxa"/>
            <w:vAlign w:val="bottom"/>
            <w:tcBorders>
              <w:left w:val="single" w:sz="8" w:color="auto"/>
              <w:right w:val="single" w:sz="8" w:color="auto"/>
            </w:tcBorders>
            <w:vMerge w:val="continue"/>
          </w:tcPr>
          <w:p>
            <w:pPr>
              <w:spacing w:after="0"/>
              <w:rPr>
                <w:sz w:val="7"/>
                <w:szCs w:val="7"/>
                <w:color w:val="auto"/>
              </w:rPr>
            </w:pPr>
          </w:p>
        </w:tc>
        <w:tc>
          <w:tcPr>
            <w:tcW w:w="5600" w:type="dxa"/>
            <w:vAlign w:val="bottom"/>
            <w:tcBorders>
              <w:right w:val="single" w:sz="8" w:color="auto"/>
            </w:tcBorders>
            <w:vMerge w:val="restart"/>
          </w:tcPr>
          <w:p>
            <w:pPr>
              <w:jc w:val="center"/>
              <w:spacing w:after="0" w:line="180" w:lineRule="exact"/>
              <w:rPr>
                <w:sz w:val="20"/>
                <w:szCs w:val="20"/>
                <w:color w:val="auto"/>
              </w:rPr>
            </w:pPr>
            <w:r>
              <w:rPr>
                <w:rFonts w:ascii="Arial" w:cs="Arial" w:eastAsia="Arial" w:hAnsi="Arial"/>
                <w:sz w:val="16"/>
                <w:szCs w:val="16"/>
                <w:color w:val="auto"/>
                <w:w w:val="95"/>
              </w:rPr>
              <w:t>by Melody Capital for more than $65 million and Dontzin Nagy &amp; Fleissig for</w:t>
            </w:r>
          </w:p>
        </w:tc>
        <w:tc>
          <w:tcPr>
            <w:tcW w:w="0" w:type="dxa"/>
            <w:vAlign w:val="bottom"/>
          </w:tcPr>
          <w:p>
            <w:pPr>
              <w:spacing w:after="0"/>
              <w:rPr>
                <w:sz w:val="1"/>
                <w:szCs w:val="1"/>
                <w:color w:val="auto"/>
              </w:rPr>
            </w:pPr>
          </w:p>
        </w:tc>
      </w:tr>
      <w:tr>
        <w:trPr>
          <w:trHeight w:val="9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3"/>
              </w:rPr>
              <w:t>mislead investors into thinking that such matters impact his abilities as HC2’s</w:t>
            </w:r>
          </w:p>
        </w:tc>
        <w:tc>
          <w:tcPr>
            <w:tcW w:w="5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40" w:type="dxa"/>
            <w:vAlign w:val="bottom"/>
            <w:tcBorders>
              <w:left w:val="single" w:sz="8" w:color="auto"/>
              <w:right w:val="single" w:sz="8" w:color="auto"/>
            </w:tcBorders>
            <w:vMerge w:val="continue"/>
          </w:tcPr>
          <w:p>
            <w:pPr>
              <w:spacing w:after="0"/>
              <w:rPr>
                <w:sz w:val="7"/>
                <w:szCs w:val="7"/>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 xml:space="preserve">more than $13 million. He is also having his HC2 wages garnished. </w:t>
            </w:r>
            <w:r>
              <w:rPr>
                <w:rFonts w:ascii="Arial" w:cs="Arial" w:eastAsia="Arial" w:hAnsi="Arial"/>
                <w:sz w:val="16"/>
                <w:szCs w:val="16"/>
                <w:b w:val="1"/>
                <w:bCs w:val="1"/>
                <w:color w:val="auto"/>
                <w:w w:val="92"/>
              </w:rPr>
              <w:t>These are</w:t>
            </w:r>
          </w:p>
        </w:tc>
        <w:tc>
          <w:tcPr>
            <w:tcW w:w="0" w:type="dxa"/>
            <w:vAlign w:val="bottom"/>
          </w:tcPr>
          <w:p>
            <w:pPr>
              <w:spacing w:after="0"/>
              <w:rPr>
                <w:sz w:val="1"/>
                <w:szCs w:val="1"/>
                <w:color w:val="auto"/>
              </w:rPr>
            </w:pPr>
          </w:p>
        </w:tc>
      </w:tr>
      <w:tr>
        <w:trPr>
          <w:trHeight w:val="9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8"/>
              </w:rPr>
              <w:t>CEO.”</w:t>
            </w:r>
          </w:p>
        </w:tc>
        <w:tc>
          <w:tcPr>
            <w:tcW w:w="5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640" w:type="dxa"/>
            <w:vAlign w:val="bottom"/>
            <w:tcBorders>
              <w:left w:val="single" w:sz="8" w:color="auto"/>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obviously not tailwinds for Mr. Falcone, given the hundreds of millions of</w:t>
            </w:r>
          </w:p>
        </w:tc>
        <w:tc>
          <w:tcPr>
            <w:tcW w:w="0" w:type="dxa"/>
            <w:vAlign w:val="bottom"/>
          </w:tcPr>
          <w:p>
            <w:pPr>
              <w:spacing w:after="0"/>
              <w:rPr>
                <w:sz w:val="1"/>
                <w:szCs w:val="1"/>
                <w:color w:val="auto"/>
              </w:rPr>
            </w:pPr>
          </w:p>
        </w:tc>
      </w:tr>
      <w:tr>
        <w:trPr>
          <w:trHeight w:val="70"/>
        </w:trPr>
        <w:tc>
          <w:tcPr>
            <w:tcW w:w="5640" w:type="dxa"/>
            <w:vAlign w:val="bottom"/>
            <w:tcBorders>
              <w:left w:val="single" w:sz="8" w:color="auto"/>
              <w:right w:val="single" w:sz="8" w:color="auto"/>
            </w:tcBorders>
          </w:tcPr>
          <w:p>
            <w:pPr>
              <w:spacing w:after="0"/>
              <w:rPr>
                <w:sz w:val="6"/>
                <w:szCs w:val="6"/>
                <w:color w:val="auto"/>
              </w:rPr>
            </w:pPr>
          </w:p>
        </w:tc>
        <w:tc>
          <w:tcPr>
            <w:tcW w:w="5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dollars in value that has been destroyed under his rule at HC2.</w:t>
            </w: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3"/>
              </w:rPr>
              <w:t>“HC2 is intentionally structured as a “well-established and diverse holding</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We question why HC2 would insult stockholders by claiming it has a well-</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3"/>
              </w:rPr>
              <w:t>company […] HC2’s strategy is to purposefully invest in diverse assets to provide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 xml:space="preserve">structured portfolio. </w:t>
            </w:r>
            <w:r>
              <w:rPr>
                <w:rFonts w:ascii="Arial" w:cs="Arial" w:eastAsia="Arial" w:hAnsi="Arial"/>
                <w:sz w:val="16"/>
                <w:szCs w:val="16"/>
                <w:b w:val="1"/>
                <w:bCs w:val="1"/>
                <w:color w:val="auto"/>
                <w:w w:val="93"/>
              </w:rPr>
              <w:t>HC2’s portfolio “strategy” has delivered dismal returns</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4"/>
              </w:rPr>
              <w:t>stockholders with mitigated risk and a wide breadth of opportunities to invest in</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over one-year (-33.43%), three-year (-65.56%), five-year (-71.97%) and six-</w:t>
            </w:r>
          </w:p>
        </w:tc>
        <w:tc>
          <w:tcPr>
            <w:tcW w:w="0" w:type="dxa"/>
            <w:vAlign w:val="bottom"/>
          </w:tcPr>
          <w:p>
            <w:pPr>
              <w:spacing w:after="0"/>
              <w:rPr>
                <w:sz w:val="1"/>
                <w:szCs w:val="1"/>
                <w:color w:val="auto"/>
              </w:rPr>
            </w:pPr>
          </w:p>
        </w:tc>
      </w:tr>
      <w:tr>
        <w:trPr>
          <w:trHeight w:val="21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3"/>
              </w:rPr>
              <w:t>assets positioned to achieve growth and profitability.”</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year (-35.14%) horizons.</w:t>
            </w: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459105</wp:posOffset>
            </wp:positionV>
            <wp:extent cx="14941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2" w:hanging="122"/>
        <w:spacing w:after="0"/>
        <w:tabs>
          <w:tab w:leader="none" w:pos="122" w:val="left"/>
        </w:tabs>
        <w:numPr>
          <w:ilvl w:val="0"/>
          <w:numId w:val="6"/>
        </w:numPr>
        <w:rPr>
          <w:rFonts w:ascii="Arial" w:cs="Arial" w:eastAsia="Arial" w:hAnsi="Arial"/>
          <w:sz w:val="32"/>
          <w:szCs w:val="32"/>
          <w:color w:val="auto"/>
          <w:vertAlign w:val="superscript"/>
        </w:rPr>
      </w:pPr>
      <w:r>
        <w:rPr>
          <w:rFonts w:ascii="Arial" w:cs="Arial" w:eastAsia="Arial" w:hAnsi="Arial"/>
          <w:sz w:val="13"/>
          <w:szCs w:val="13"/>
          <w:color w:val="auto"/>
        </w:rPr>
        <w:t>HC2 letter to stockholders dated April 16, 2020 at 10:42 PM Eastern time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02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451" w:right="339" w:bottom="1440" w:gutter="0" w:footer="0" w:header="0"/>
        </w:sectPr>
      </w:pPr>
    </w:p>
    <w:bookmarkStart w:id="4" w:name="page5"/>
    <w:bookmarkEnd w:id="4"/>
    <w:p>
      <w:pPr>
        <w:ind w:left="2"/>
        <w:spacing w:after="0" w:line="225" w:lineRule="auto"/>
        <w:rPr>
          <w:sz w:val="20"/>
          <w:szCs w:val="20"/>
          <w:color w:val="auto"/>
        </w:rPr>
      </w:pPr>
      <w:r>
        <w:rPr>
          <w:rFonts w:ascii="Arial" w:cs="Arial" w:eastAsia="Arial" w:hAnsi="Arial"/>
          <w:sz w:val="20"/>
          <w:szCs w:val="20"/>
          <w:color w:val="auto"/>
        </w:rPr>
        <w:t>HC2’s recent letter did not just include the aforementioned falsehoods and half-truths regarding its corporate governance. Mr. Falcone and the incumbent directors also sought to distort issues related to audit and disclosure problems:</w:t>
      </w:r>
    </w:p>
    <w:p>
      <w:pPr>
        <w:spacing w:after="0" w:line="132" w:lineRule="exact"/>
        <w:rPr>
          <w:sz w:val="20"/>
          <w:szCs w:val="20"/>
          <w:color w:val="auto"/>
        </w:rPr>
      </w:pPr>
    </w:p>
    <w:tbl>
      <w:tblPr>
        <w:tblLayout w:type="fixed"/>
        <w:tblInd w:w="12" w:type="dxa"/>
        <w:tblCellMar>
          <w:top w:w="0" w:type="dxa"/>
          <w:left w:w="0" w:type="dxa"/>
          <w:bottom w:w="0" w:type="dxa"/>
          <w:right w:w="0" w:type="dxa"/>
        </w:tblCellMar>
      </w:tblPr>
      <w:tr>
        <w:trPr>
          <w:trHeight w:val="286"/>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FF0000"/>
                <w:w w:val="88"/>
              </w:rPr>
              <w:t>HC2’s Misleading Audit/Disclosure Assertions</w:t>
            </w:r>
          </w:p>
        </w:tc>
        <w:tc>
          <w:tcPr>
            <w:tcW w:w="5600" w:type="dxa"/>
            <w:vAlign w:val="bottom"/>
            <w:tcBorders>
              <w:top w:val="single" w:sz="8" w:color="auto"/>
              <w:bottom w:val="single" w:sz="8" w:color="002060"/>
              <w:right w:val="single" w:sz="8" w:color="auto"/>
            </w:tcBorders>
            <w:shd w:val="clear" w:color="auto" w:fill="002060"/>
          </w:tcPr>
          <w:p>
            <w:pPr>
              <w:jc w:val="center"/>
              <w:spacing w:after="0"/>
              <w:rPr>
                <w:sz w:val="20"/>
                <w:szCs w:val="20"/>
                <w:color w:val="auto"/>
              </w:rPr>
            </w:pPr>
            <w:r>
              <w:rPr>
                <w:rFonts w:ascii="Arial" w:cs="Arial" w:eastAsia="Arial" w:hAnsi="Arial"/>
                <w:sz w:val="16"/>
                <w:szCs w:val="16"/>
                <w:b w:val="1"/>
                <w:bCs w:val="1"/>
                <w:i w:val="1"/>
                <w:iCs w:val="1"/>
                <w:color w:val="FFFFFF"/>
                <w:w w:val="91"/>
              </w:rPr>
              <w:t>MG Capital’s Reality Check</w:t>
            </w:r>
          </w:p>
        </w:tc>
        <w:tc>
          <w:tcPr>
            <w:tcW w:w="0" w:type="dxa"/>
            <w:vAlign w:val="bottom"/>
          </w:tcPr>
          <w:p>
            <w:pPr>
              <w:spacing w:after="0"/>
              <w:rPr>
                <w:sz w:val="1"/>
                <w:szCs w:val="1"/>
                <w:color w:val="auto"/>
              </w:rPr>
            </w:pPr>
          </w:p>
        </w:tc>
      </w:tr>
      <w:tr>
        <w:trPr>
          <w:trHeight w:val="204"/>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2"/>
              </w:rPr>
              <w:t>“Mr. Gorzynski’s attacks on KMG’s BPG are baseless attempts to mislead investors</w:t>
            </w:r>
          </w:p>
        </w:tc>
        <w:tc>
          <w:tcPr>
            <w:tcW w:w="5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Stockholders should be very concerned by HC2’s clear refusal to substantively</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4"/>
              </w:rPr>
              <w:t>[…] Extensive consultations with Big 4 accounting advisors and nationally</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 xml:space="preserve">address how a $10,000 purchase was marked up to $116.5 million. </w:t>
            </w:r>
            <w:r>
              <w:rPr>
                <w:rFonts w:ascii="Arial" w:cs="Arial" w:eastAsia="Arial" w:hAnsi="Arial"/>
                <w:sz w:val="16"/>
                <w:szCs w:val="16"/>
                <w:b w:val="1"/>
                <w:bCs w:val="1"/>
                <w:color w:val="auto"/>
                <w:w w:val="91"/>
              </w:rPr>
              <w:t>This</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3"/>
              </w:rPr>
              <w:t>recognized actuarial advisors were utilized in determining the accounting for the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questionable, under-disclosed bargain purchase gain has direct parallels to</w:t>
            </w:r>
          </w:p>
        </w:tc>
        <w:tc>
          <w:tcPr>
            <w:tcW w:w="0" w:type="dxa"/>
            <w:vAlign w:val="bottom"/>
          </w:tcPr>
          <w:p>
            <w:pPr>
              <w:spacing w:after="0"/>
              <w:rPr>
                <w:sz w:val="1"/>
                <w:szCs w:val="1"/>
                <w:color w:val="auto"/>
              </w:rPr>
            </w:pPr>
          </w:p>
        </w:tc>
      </w:tr>
      <w:tr>
        <w:trPr>
          <w:trHeight w:val="21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5"/>
              </w:rPr>
              <w:t>BPG, which was included in HC2’s 2018 financials audited by BDO, USA LLP.”</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past S.E.C enforcement cases.</w:t>
            </w: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40" w:type="dxa"/>
            <w:vAlign w:val="bottom"/>
            <w:tcBorders>
              <w:left w:val="single" w:sz="8" w:color="auto"/>
              <w:right w:val="single" w:sz="8" w:color="auto"/>
            </w:tcBorders>
          </w:tcPr>
          <w:p>
            <w:pPr>
              <w:spacing w:after="0"/>
              <w:rPr>
                <w:sz w:val="17"/>
                <w:szCs w:val="17"/>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MG Capital sent HC2’s Audit Committee a detailed letter with 60+ pages of</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spacing w:after="0"/>
              <w:rPr>
                <w:sz w:val="15"/>
                <w:szCs w:val="15"/>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 xml:space="preserve">exhibits related to Continental General’s acquisition of KMG America. </w:t>
            </w:r>
            <w:r>
              <w:rPr>
                <w:rFonts w:ascii="Arial" w:cs="Arial" w:eastAsia="Arial" w:hAnsi="Arial"/>
                <w:sz w:val="16"/>
                <w:szCs w:val="16"/>
                <w:b w:val="1"/>
                <w:bCs w:val="1"/>
                <w:color w:val="auto"/>
                <w:w w:val="94"/>
              </w:rPr>
              <w:t>Given the</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3"/>
              </w:rPr>
              <w:t>“Mr. Falcone was Chairman of the Board of HC2 at the time of the March 2nd letter</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letter focused on a $116.5 million valuation swing that impacted Mr. Falcone’s</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3"/>
              </w:rPr>
              <w:t>and it would have been imprudent not to inform him of the severity of the claims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compensation, it violated the basic tenets of sound governance to share it with</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3"/>
              </w:rPr>
              <w:t>within that letter […] After an independent investigation, we have come to learn</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him. Instead of forcing Mr. Falcone to recuse himself from the investigation,</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0"/>
              </w:rPr>
              <w:t>that such claims were baseless.”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the Audit Committee allowed him to participate, leading us to question the</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spacing w:after="0"/>
              <w:rPr>
                <w:sz w:val="15"/>
                <w:szCs w:val="15"/>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authenticity of this “independent investigation” and why the underlying</w:t>
            </w:r>
          </w:p>
        </w:tc>
        <w:tc>
          <w:tcPr>
            <w:tcW w:w="0" w:type="dxa"/>
            <w:vAlign w:val="bottom"/>
          </w:tcPr>
          <w:p>
            <w:pPr>
              <w:spacing w:after="0"/>
              <w:rPr>
                <w:sz w:val="1"/>
                <w:szCs w:val="1"/>
                <w:color w:val="auto"/>
              </w:rPr>
            </w:pP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analyses and materials have also not yet been disclosed by HC2.</w:t>
            </w: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2"/>
              </w:rPr>
              <w:t>“Mr. Falcone was represented by HC2’s former general counsel on a personal</w:t>
            </w: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It is very telling that HC2’s letter DOES NOT affirmatively state that Mr. Falcone</w:t>
            </w:r>
          </w:p>
        </w:tc>
        <w:tc>
          <w:tcPr>
            <w:tcW w:w="0" w:type="dxa"/>
            <w:vAlign w:val="bottom"/>
          </w:tcPr>
          <w:p>
            <w:pPr>
              <w:spacing w:after="0"/>
              <w:rPr>
                <w:sz w:val="1"/>
                <w:szCs w:val="1"/>
                <w:color w:val="auto"/>
              </w:rPr>
            </w:pPr>
          </w:p>
        </w:tc>
      </w:tr>
      <w:tr>
        <w:trPr>
          <w:trHeight w:val="86"/>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1"/>
              </w:rPr>
              <w:t>matter after he left HC2 and under an independent engagement for services, and</w:t>
            </w:r>
          </w:p>
        </w:tc>
        <w:tc>
          <w:tcPr>
            <w:tcW w:w="5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640" w:type="dxa"/>
            <w:vAlign w:val="bottom"/>
            <w:tcBorders>
              <w:left w:val="single" w:sz="8" w:color="auto"/>
              <w:right w:val="single" w:sz="8" w:color="auto"/>
            </w:tcBorders>
            <w:vMerge w:val="continue"/>
          </w:tcPr>
          <w:p>
            <w:pPr>
              <w:spacing w:after="0"/>
              <w:rPr>
                <w:sz w:val="8"/>
                <w:szCs w:val="8"/>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has avoided using Company resources for personal gain. Mr. Falcone’s disposition</w:t>
            </w:r>
          </w:p>
        </w:tc>
        <w:tc>
          <w:tcPr>
            <w:tcW w:w="0" w:type="dxa"/>
            <w:vAlign w:val="bottom"/>
          </w:tcPr>
          <w:p>
            <w:pPr>
              <w:spacing w:after="0"/>
              <w:rPr>
                <w:sz w:val="1"/>
                <w:szCs w:val="1"/>
                <w:color w:val="auto"/>
              </w:rPr>
            </w:pPr>
          </w:p>
        </w:tc>
      </w:tr>
      <w:tr>
        <w:trPr>
          <w:trHeight w:val="86"/>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4"/>
              </w:rPr>
              <w:t>was not paid for by HC2 for such services in any form […] The deposition</w:t>
            </w:r>
          </w:p>
        </w:tc>
        <w:tc>
          <w:tcPr>
            <w:tcW w:w="5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640" w:type="dxa"/>
            <w:vAlign w:val="bottom"/>
            <w:tcBorders>
              <w:left w:val="single" w:sz="8" w:color="auto"/>
              <w:right w:val="single" w:sz="8" w:color="auto"/>
            </w:tcBorders>
            <w:vMerge w:val="continue"/>
          </w:tcPr>
          <w:p>
            <w:pPr>
              <w:spacing w:after="0"/>
              <w:rPr>
                <w:sz w:val="8"/>
                <w:szCs w:val="8"/>
                <w:color w:val="auto"/>
              </w:rPr>
            </w:pPr>
          </w:p>
        </w:tc>
        <w:tc>
          <w:tcPr>
            <w:tcW w:w="5600" w:type="dxa"/>
            <w:vAlign w:val="bottom"/>
            <w:tcBorders>
              <w:right w:val="single" w:sz="8" w:color="auto"/>
            </w:tcBorders>
            <w:vMerge w:val="restart"/>
          </w:tcPr>
          <w:p>
            <w:pPr>
              <w:jc w:val="center"/>
              <w:spacing w:after="0" w:line="174" w:lineRule="exact"/>
              <w:rPr>
                <w:sz w:val="20"/>
                <w:szCs w:val="20"/>
                <w:color w:val="auto"/>
              </w:rPr>
            </w:pPr>
            <w:r>
              <w:rPr>
                <w:rFonts w:ascii="Arial" w:cs="Arial" w:eastAsia="Arial" w:hAnsi="Arial"/>
                <w:sz w:val="16"/>
                <w:szCs w:val="16"/>
                <w:color w:val="auto"/>
                <w:w w:val="94"/>
              </w:rPr>
              <w:t>related to his dispute with Dontzin Nagy &amp; Fleissig is available for the public to</w:t>
            </w:r>
          </w:p>
        </w:tc>
        <w:tc>
          <w:tcPr>
            <w:tcW w:w="0" w:type="dxa"/>
            <w:vAlign w:val="bottom"/>
          </w:tcPr>
          <w:p>
            <w:pPr>
              <w:spacing w:after="0"/>
              <w:rPr>
                <w:sz w:val="1"/>
                <w:szCs w:val="1"/>
                <w:color w:val="auto"/>
              </w:rPr>
            </w:pPr>
          </w:p>
        </w:tc>
      </w:tr>
      <w:tr>
        <w:trPr>
          <w:trHeight w:val="75"/>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3"/>
              </w:rPr>
              <w:t>referenced by Mr. Gorzynski was selectively edited with material omissions</w:t>
            </w:r>
          </w:p>
        </w:tc>
        <w:tc>
          <w:tcPr>
            <w:tcW w:w="56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5640" w:type="dxa"/>
            <w:vAlign w:val="bottom"/>
            <w:tcBorders>
              <w:left w:val="single" w:sz="8" w:color="auto"/>
              <w:right w:val="single" w:sz="8" w:color="auto"/>
            </w:tcBorders>
            <w:vMerge w:val="continue"/>
          </w:tcPr>
          <w:p>
            <w:pPr>
              <w:spacing w:after="0"/>
              <w:rPr>
                <w:sz w:val="9"/>
                <w:szCs w:val="9"/>
                <w:color w:val="auto"/>
              </w:rPr>
            </w:pPr>
          </w:p>
        </w:tc>
        <w:tc>
          <w:tcPr>
            <w:tcW w:w="5600" w:type="dxa"/>
            <w:vAlign w:val="bottom"/>
            <w:tcBorders>
              <w:right w:val="single" w:sz="8" w:color="auto"/>
            </w:tcBorders>
            <w:vMerge w:val="restart"/>
          </w:tcPr>
          <w:p>
            <w:pPr>
              <w:jc w:val="center"/>
              <w:spacing w:after="0" w:line="190" w:lineRule="exact"/>
              <w:rPr>
                <w:sz w:val="20"/>
                <w:szCs w:val="20"/>
                <w:color w:val="auto"/>
              </w:rPr>
            </w:pPr>
            <w:r>
              <w:rPr>
                <w:rFonts w:ascii="Arial" w:cs="Arial" w:eastAsia="Arial" w:hAnsi="Arial"/>
                <w:sz w:val="14"/>
                <w:szCs w:val="14"/>
                <w:color w:val="auto"/>
              </w:rPr>
              <w:t>read.</w:t>
            </w:r>
            <w:r>
              <w:rPr>
                <w:rFonts w:ascii="Arial" w:cs="Arial" w:eastAsia="Arial" w:hAnsi="Arial"/>
                <w:sz w:val="22"/>
                <w:szCs w:val="22"/>
                <w:color w:val="auto"/>
                <w:vertAlign w:val="superscript"/>
              </w:rPr>
              <w:t>6</w:t>
            </w:r>
            <w:r>
              <w:rPr>
                <w:rFonts w:ascii="Arial" w:cs="Arial" w:eastAsia="Arial" w:hAnsi="Arial"/>
                <w:sz w:val="14"/>
                <w:szCs w:val="14"/>
                <w:color w:val="auto"/>
              </w:rPr>
              <w:t xml:space="preserve"> </w:t>
            </w:r>
            <w:r>
              <w:rPr>
                <w:rFonts w:ascii="Arial" w:cs="Arial" w:eastAsia="Arial" w:hAnsi="Arial"/>
                <w:sz w:val="14"/>
                <w:szCs w:val="14"/>
                <w:b w:val="1"/>
                <w:bCs w:val="1"/>
                <w:color w:val="auto"/>
              </w:rPr>
              <w:t>Mr. Falcone directly acknowledged that HC2’s general counsel at the</w:t>
            </w:r>
          </w:p>
        </w:tc>
        <w:tc>
          <w:tcPr>
            <w:tcW w:w="0" w:type="dxa"/>
            <w:vAlign w:val="bottom"/>
          </w:tcPr>
          <w:p>
            <w:pPr>
              <w:spacing w:after="0"/>
              <w:rPr>
                <w:sz w:val="1"/>
                <w:szCs w:val="1"/>
                <w:color w:val="auto"/>
              </w:rPr>
            </w:pPr>
          </w:p>
        </w:tc>
      </w:tr>
      <w:tr>
        <w:trPr>
          <w:trHeight w:val="82"/>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3"/>
              </w:rPr>
              <w:t>designed to mislead investors into thinking that Mr. Falcone admitted to misusing</w:t>
            </w:r>
          </w:p>
        </w:tc>
        <w:tc>
          <w:tcPr>
            <w:tcW w:w="5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640" w:type="dxa"/>
            <w:vAlign w:val="bottom"/>
            <w:tcBorders>
              <w:left w:val="single" w:sz="8" w:color="auto"/>
              <w:right w:val="single" w:sz="8" w:color="auto"/>
            </w:tcBorders>
            <w:vMerge w:val="continue"/>
          </w:tcPr>
          <w:p>
            <w:pPr>
              <w:spacing w:after="0"/>
              <w:rPr>
                <w:sz w:val="8"/>
                <w:szCs w:val="8"/>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time was doing personal work for him.</w:t>
            </w:r>
          </w:p>
        </w:tc>
        <w:tc>
          <w:tcPr>
            <w:tcW w:w="0" w:type="dxa"/>
            <w:vAlign w:val="bottom"/>
          </w:tcPr>
          <w:p>
            <w:pPr>
              <w:spacing w:after="0"/>
              <w:rPr>
                <w:sz w:val="1"/>
                <w:szCs w:val="1"/>
                <w:color w:val="auto"/>
              </w:rPr>
            </w:pPr>
          </w:p>
        </w:tc>
      </w:tr>
      <w:tr>
        <w:trPr>
          <w:trHeight w:val="110"/>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FF0000"/>
                <w:w w:val="92"/>
              </w:rPr>
              <w:t>HC2 resources, when he did not.”</w:t>
            </w:r>
          </w:p>
        </w:tc>
        <w:tc>
          <w:tcPr>
            <w:tcW w:w="5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640" w:type="dxa"/>
            <w:vAlign w:val="bottom"/>
            <w:tcBorders>
              <w:left w:val="single" w:sz="8" w:color="auto"/>
              <w:right w:val="single" w:sz="8" w:color="auto"/>
            </w:tcBorders>
            <w:vMerge w:val="continue"/>
          </w:tcPr>
          <w:p>
            <w:pPr>
              <w:spacing w:after="0"/>
              <w:rPr>
                <w:sz w:val="8"/>
                <w:szCs w:val="8"/>
                <w:color w:val="auto"/>
              </w:rPr>
            </w:pPr>
          </w:p>
        </w:tc>
        <w:tc>
          <w:tcPr>
            <w:tcW w:w="5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1"/>
              </w:rPr>
              <w:t>HC2’s business purpose and strategy is NOT to operate its subsidiaries nor to</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Since Mr. Falcone is banned from the insurance industry, it defies logic that HC2 –</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tcPr>
          <w:p>
            <w:pPr>
              <w:jc w:val="center"/>
              <w:spacing w:after="0" w:line="180" w:lineRule="exact"/>
              <w:rPr>
                <w:sz w:val="20"/>
                <w:szCs w:val="20"/>
                <w:color w:val="auto"/>
              </w:rPr>
            </w:pPr>
            <w:r>
              <w:rPr>
                <w:rFonts w:ascii="Arial" w:cs="Arial" w:eastAsia="Arial" w:hAnsi="Arial"/>
                <w:sz w:val="16"/>
                <w:szCs w:val="16"/>
                <w:color w:val="FF0000"/>
                <w:w w:val="93"/>
              </w:rPr>
              <w:t>manage their day-to-day operations [...] HC2, through Continental Insurance Group,</w:t>
            </w:r>
          </w:p>
        </w:tc>
        <w:tc>
          <w:tcPr>
            <w:tcW w:w="56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3"/>
              </w:rPr>
              <w:t>which is run by Mr. Falcone – is providing investment management services to</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4"/>
              </w:rPr>
              <w:t>Ltd. (“CIG”), provides the insurance company with unique and differentiated</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 xml:space="preserve">Continental General. </w:t>
            </w:r>
            <w:r>
              <w:rPr>
                <w:rFonts w:ascii="Arial" w:cs="Arial" w:eastAsia="Arial" w:hAnsi="Arial"/>
                <w:sz w:val="16"/>
                <w:szCs w:val="16"/>
                <w:b w:val="1"/>
                <w:bCs w:val="1"/>
                <w:color w:val="auto"/>
                <w:w w:val="91"/>
              </w:rPr>
              <w:t>Perhaps this is why the Texas Department of Insurance is</w:t>
            </w:r>
          </w:p>
        </w:tc>
        <w:tc>
          <w:tcPr>
            <w:tcW w:w="0" w:type="dxa"/>
            <w:vAlign w:val="bottom"/>
          </w:tcPr>
          <w:p>
            <w:pPr>
              <w:spacing w:after="0"/>
              <w:rPr>
                <w:sz w:val="1"/>
                <w:szCs w:val="1"/>
                <w:color w:val="auto"/>
              </w:rPr>
            </w:pPr>
          </w:p>
        </w:tc>
      </w:tr>
      <w:tr>
        <w:trPr>
          <w:trHeight w:val="212"/>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FF0000"/>
                <w:w w:val="91"/>
              </w:rPr>
              <w:t>investment management services and does not operate Continental General […]”</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currently investigating Continental General.</w:t>
            </w:r>
          </w:p>
        </w:tc>
        <w:tc>
          <w:tcPr>
            <w:tcW w:w="0" w:type="dxa"/>
            <w:vAlign w:val="bottom"/>
          </w:tcPr>
          <w:p>
            <w:pPr>
              <w:spacing w:after="0"/>
              <w:rPr>
                <w:sz w:val="1"/>
                <w:szCs w:val="1"/>
                <w:color w:val="auto"/>
              </w:rPr>
            </w:pPr>
          </w:p>
        </w:tc>
      </w:tr>
      <w:tr>
        <w:trPr>
          <w:trHeight w:val="30"/>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2"/>
        <w:spacing w:after="0" w:line="225" w:lineRule="auto"/>
        <w:rPr>
          <w:sz w:val="20"/>
          <w:szCs w:val="20"/>
          <w:color w:val="auto"/>
        </w:rPr>
      </w:pPr>
      <w:r>
        <w:rPr>
          <w:rFonts w:ascii="Arial" w:cs="Arial" w:eastAsia="Arial" w:hAnsi="Arial"/>
          <w:sz w:val="20"/>
          <w:szCs w:val="20"/>
          <w:color w:val="auto"/>
        </w:rPr>
        <w:t>When it came to related party transactions and the misallocation of capital, Mr. Falcone and the incumbent directors apparently thought it was a good idea to double down on misinformation and try to pull the wool over stockholders’ 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555625</wp:posOffset>
            </wp:positionV>
            <wp:extent cx="14941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 w:hanging="82"/>
        <w:spacing w:after="0"/>
        <w:tabs>
          <w:tab w:leader="none" w:pos="82" w:val="left"/>
        </w:tabs>
        <w:numPr>
          <w:ilvl w:val="0"/>
          <w:numId w:val="7"/>
        </w:numPr>
        <w:rPr>
          <w:rFonts w:ascii="Arial" w:cs="Arial" w:eastAsia="Arial" w:hAnsi="Arial"/>
          <w:sz w:val="22"/>
          <w:szCs w:val="22"/>
          <w:color w:val="auto"/>
          <w:vertAlign w:val="superscript"/>
        </w:rPr>
      </w:pPr>
      <w:r>
        <w:rPr>
          <w:rFonts w:ascii="Arial" w:cs="Arial" w:eastAsia="Arial" w:hAnsi="Arial"/>
          <w:sz w:val="13"/>
          <w:szCs w:val="13"/>
          <w:color w:val="auto"/>
        </w:rPr>
        <w:t>Dontzin, Nagy vs. Falcone deposition of Philip A. Falcone (July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502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451" w:right="339" w:bottom="1440" w:gutter="0" w:footer="0" w:header="0"/>
        </w:sectPr>
      </w:pPr>
    </w:p>
    <w:bookmarkStart w:id="5" w:name="page6"/>
    <w:bookmarkEnd w:id="5"/>
    <w:tbl>
      <w:tblPr>
        <w:tblLayout w:type="fixed"/>
        <w:tblInd w:w="12" w:type="dxa"/>
        <w:tblCellMar>
          <w:top w:w="0" w:type="dxa"/>
          <w:left w:w="0" w:type="dxa"/>
          <w:bottom w:w="0" w:type="dxa"/>
          <w:right w:w="0" w:type="dxa"/>
        </w:tblCellMar>
      </w:tblPr>
      <w:tr>
        <w:trPr>
          <w:trHeight w:val="286"/>
        </w:trPr>
        <w:tc>
          <w:tcPr>
            <w:tcW w:w="56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FF0000"/>
                <w:w w:val="90"/>
              </w:rPr>
              <w:t>HC2’s Misleading Capital Allocation Assertions</w:t>
            </w:r>
          </w:p>
        </w:tc>
        <w:tc>
          <w:tcPr>
            <w:tcW w:w="5600" w:type="dxa"/>
            <w:vAlign w:val="bottom"/>
            <w:tcBorders>
              <w:top w:val="single" w:sz="8" w:color="auto"/>
              <w:bottom w:val="single" w:sz="8" w:color="002060"/>
              <w:right w:val="single" w:sz="8" w:color="auto"/>
            </w:tcBorders>
            <w:shd w:val="clear" w:color="auto" w:fill="002060"/>
          </w:tcPr>
          <w:p>
            <w:pPr>
              <w:jc w:val="center"/>
              <w:spacing w:after="0"/>
              <w:rPr>
                <w:sz w:val="20"/>
                <w:szCs w:val="20"/>
                <w:color w:val="auto"/>
              </w:rPr>
            </w:pPr>
            <w:r>
              <w:rPr>
                <w:rFonts w:ascii="Arial" w:cs="Arial" w:eastAsia="Arial" w:hAnsi="Arial"/>
                <w:sz w:val="16"/>
                <w:szCs w:val="16"/>
                <w:b w:val="1"/>
                <w:bCs w:val="1"/>
                <w:i w:val="1"/>
                <w:iCs w:val="1"/>
                <w:color w:val="FFFFFF"/>
                <w:w w:val="91"/>
              </w:rPr>
              <w:t>MG Capital’s Reality Check</w:t>
            </w:r>
          </w:p>
        </w:tc>
        <w:tc>
          <w:tcPr>
            <w:tcW w:w="0" w:type="dxa"/>
            <w:vAlign w:val="bottom"/>
          </w:tcPr>
          <w:p>
            <w:pPr>
              <w:spacing w:after="0"/>
              <w:rPr>
                <w:sz w:val="1"/>
                <w:szCs w:val="1"/>
                <w:color w:val="auto"/>
              </w:rPr>
            </w:pPr>
          </w:p>
        </w:tc>
      </w:tr>
      <w:tr>
        <w:trPr>
          <w:trHeight w:val="208"/>
        </w:trPr>
        <w:tc>
          <w:tcPr>
            <w:tcW w:w="56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FF0000"/>
                <w:w w:val="93"/>
              </w:rPr>
              <w:t>“Arcot and Wheels Up were $27.4M of debt investments made by CIG on behalf of</w:t>
            </w:r>
          </w:p>
        </w:tc>
        <w:tc>
          <w:tcPr>
            <w:tcW w:w="56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FF0000"/>
                <w:w w:val="94"/>
              </w:rPr>
              <w:t>CGIC (which holds $4.3B in assets, less than 0.0064 of the portfolio) in full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HC2’s “double speak” regarding its questionable allocation of Continental</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FF0000"/>
                <w:w w:val="91"/>
              </w:rPr>
              <w:t>compliance with the Texas Insurance Code and the existing Investment</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General’s capital is another affront to stockholders. It should be clear that Mr.</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FF0000"/>
                <w:w w:val="92"/>
              </w:rPr>
              <w:t>Management Agreement between the parties […]</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Falcone and the Board did not want to discuss investments in Arcot Finance,</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gridSpan w:val="3"/>
          </w:tcPr>
          <w:p>
            <w:pPr>
              <w:jc w:val="center"/>
              <w:spacing w:after="0" w:line="180" w:lineRule="exact"/>
              <w:rPr>
                <w:sz w:val="20"/>
                <w:szCs w:val="20"/>
                <w:color w:val="auto"/>
              </w:rPr>
            </w:pPr>
            <w:r>
              <w:rPr>
                <w:rFonts w:ascii="Arial" w:cs="Arial" w:eastAsia="Arial" w:hAnsi="Arial"/>
                <w:sz w:val="16"/>
                <w:szCs w:val="16"/>
                <w:color w:val="FF0000"/>
                <w:w w:val="92"/>
              </w:rPr>
              <w:t>Both investments were also fully disclosed to the Texas Department of Insurance</w:t>
            </w:r>
          </w:p>
        </w:tc>
        <w:tc>
          <w:tcPr>
            <w:tcW w:w="56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6"/>
                <w:szCs w:val="16"/>
                <w:color w:val="auto"/>
                <w:w w:val="91"/>
              </w:rPr>
              <w:t>Wheels Up and 704 Games – likely because they have no place in an insurance</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FF0000"/>
                <w:w w:val="92"/>
              </w:rPr>
              <w:t>(TDI) in the normal course. Both investments have been fair valued quarterly and</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 xml:space="preserve">company’s portfolio. </w:t>
            </w:r>
            <w:r>
              <w:rPr>
                <w:rFonts w:ascii="Arial" w:cs="Arial" w:eastAsia="Arial" w:hAnsi="Arial"/>
                <w:sz w:val="16"/>
                <w:szCs w:val="16"/>
                <w:b w:val="1"/>
                <w:bCs w:val="1"/>
                <w:color w:val="auto"/>
                <w:w w:val="92"/>
              </w:rPr>
              <w:t>To date, Mr. Falcone has still not explained why it is</w:t>
            </w: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FF0000"/>
                <w:w w:val="92"/>
              </w:rPr>
              <w:t>the Arcot unsecured notes have twice been impaired in accordance with normal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strategically-beneficial for a Texas-based insurer to invest in speculative gem,</w:t>
            </w:r>
          </w:p>
        </w:tc>
        <w:tc>
          <w:tcPr>
            <w:tcW w:w="0" w:type="dxa"/>
            <w:vAlign w:val="bottom"/>
          </w:tcPr>
          <w:p>
            <w:pPr>
              <w:spacing w:after="0"/>
              <w:rPr>
                <w:sz w:val="1"/>
                <w:szCs w:val="1"/>
                <w:color w:val="auto"/>
              </w:rPr>
            </w:pPr>
          </w:p>
        </w:tc>
      </w:tr>
      <w:tr>
        <w:trPr>
          <w:trHeight w:val="212"/>
        </w:trPr>
        <w:tc>
          <w:tcPr>
            <w:tcW w:w="5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FF0000"/>
                <w:w w:val="91"/>
              </w:rPr>
              <w:t>process.”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private aviation and video game companies.</w:t>
            </w:r>
          </w:p>
        </w:tc>
        <w:tc>
          <w:tcPr>
            <w:tcW w:w="0" w:type="dxa"/>
            <w:vAlign w:val="bottom"/>
          </w:tcPr>
          <w:p>
            <w:pPr>
              <w:spacing w:after="0"/>
              <w:rPr>
                <w:sz w:val="1"/>
                <w:szCs w:val="1"/>
                <w:color w:val="auto"/>
              </w:rPr>
            </w:pPr>
          </w:p>
        </w:tc>
      </w:tr>
      <w:tr>
        <w:trPr>
          <w:trHeight w:val="214"/>
        </w:trPr>
        <w:tc>
          <w:tcPr>
            <w:tcW w:w="374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FF0000"/>
                <w:w w:val="92"/>
              </w:rPr>
              <w:t>HC2 entered into an arm’s length services agreement with third party, Harbinger</w:t>
            </w:r>
          </w:p>
        </w:tc>
        <w:tc>
          <w:tcPr>
            <w:tcW w:w="5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64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6"/>
                <w:szCs w:val="16"/>
                <w:color w:val="FF0000"/>
                <w:w w:val="92"/>
              </w:rPr>
              <w:t>Capital, for the benefit of stockholders […] services agreement includes necessary</w:t>
            </w: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Harbinger Capital Partners is Mr. Falcone’s hedge fund business, which was banned</w:t>
            </w:r>
          </w:p>
        </w:tc>
        <w:tc>
          <w:tcPr>
            <w:tcW w:w="0" w:type="dxa"/>
            <w:vAlign w:val="bottom"/>
          </w:tcPr>
          <w:p>
            <w:pPr>
              <w:spacing w:after="0"/>
              <w:rPr>
                <w:sz w:val="1"/>
                <w:szCs w:val="1"/>
                <w:color w:val="auto"/>
              </w:rPr>
            </w:pPr>
          </w:p>
        </w:tc>
      </w:tr>
      <w:tr>
        <w:trPr>
          <w:trHeight w:val="86"/>
        </w:trPr>
        <w:tc>
          <w:tcPr>
            <w:tcW w:w="5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FF0000"/>
                <w:w w:val="92"/>
              </w:rPr>
              <w:t>provision of services such as providing office space, administrative salaries and</w:t>
            </w:r>
          </w:p>
        </w:tc>
        <w:tc>
          <w:tcPr>
            <w:tcW w:w="5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640" w:type="dxa"/>
            <w:vAlign w:val="bottom"/>
            <w:tcBorders>
              <w:left w:val="single" w:sz="8" w:color="auto"/>
              <w:right w:val="single" w:sz="8" w:color="auto"/>
            </w:tcBorders>
            <w:gridSpan w:val="3"/>
            <w:vMerge w:val="continue"/>
          </w:tcPr>
          <w:p>
            <w:pPr>
              <w:spacing w:after="0"/>
              <w:rPr>
                <w:sz w:val="8"/>
                <w:szCs w:val="8"/>
                <w:color w:val="auto"/>
              </w:rPr>
            </w:pPr>
          </w:p>
        </w:tc>
        <w:tc>
          <w:tcPr>
            <w:tcW w:w="5600" w:type="dxa"/>
            <w:vAlign w:val="bottom"/>
            <w:tcBorders>
              <w:right w:val="single" w:sz="8" w:color="auto"/>
            </w:tcBorders>
            <w:vMerge w:val="restart"/>
          </w:tcPr>
          <w:p>
            <w:pPr>
              <w:jc w:val="center"/>
              <w:spacing w:after="0" w:line="180" w:lineRule="exact"/>
              <w:rPr>
                <w:sz w:val="20"/>
                <w:szCs w:val="20"/>
                <w:color w:val="auto"/>
              </w:rPr>
            </w:pPr>
            <w:r>
              <w:rPr>
                <w:rFonts w:ascii="Arial" w:cs="Arial" w:eastAsia="Arial" w:hAnsi="Arial"/>
                <w:sz w:val="16"/>
                <w:szCs w:val="16"/>
                <w:color w:val="auto"/>
                <w:w w:val="94"/>
              </w:rPr>
              <w:t>from the securities industry by the S.E.C. in 2013. HC2 paid $3.8 million in 2018</w:t>
            </w:r>
          </w:p>
        </w:tc>
        <w:tc>
          <w:tcPr>
            <w:tcW w:w="0" w:type="dxa"/>
            <w:vAlign w:val="bottom"/>
          </w:tcPr>
          <w:p>
            <w:pPr>
              <w:spacing w:after="0"/>
              <w:rPr>
                <w:sz w:val="1"/>
                <w:szCs w:val="1"/>
                <w:color w:val="auto"/>
              </w:rPr>
            </w:pPr>
          </w:p>
        </w:tc>
      </w:tr>
      <w:tr>
        <w:trPr>
          <w:trHeight w:val="82"/>
        </w:trPr>
        <w:tc>
          <w:tcPr>
            <w:tcW w:w="5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FF0000"/>
                <w:w w:val="90"/>
              </w:rPr>
              <w:t>benefits, and other overhead, with the costs incurred under the agreement based on</w:t>
            </w:r>
          </w:p>
        </w:tc>
        <w:tc>
          <w:tcPr>
            <w:tcW w:w="5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640" w:type="dxa"/>
            <w:vAlign w:val="bottom"/>
            <w:tcBorders>
              <w:left w:val="single" w:sz="8" w:color="auto"/>
              <w:right w:val="single" w:sz="8" w:color="auto"/>
            </w:tcBorders>
            <w:gridSpan w:val="3"/>
            <w:vMerge w:val="continue"/>
          </w:tcPr>
          <w:p>
            <w:pPr>
              <w:spacing w:after="0"/>
              <w:rPr>
                <w:sz w:val="8"/>
                <w:szCs w:val="8"/>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 xml:space="preserve">and $2.7 million in 2019 to Harbinger under a services agreement. </w:t>
            </w:r>
            <w:r>
              <w:rPr>
                <w:rFonts w:ascii="Arial" w:cs="Arial" w:eastAsia="Arial" w:hAnsi="Arial"/>
                <w:sz w:val="16"/>
                <w:szCs w:val="16"/>
                <w:b w:val="1"/>
                <w:bCs w:val="1"/>
                <w:color w:val="auto"/>
                <w:w w:val="92"/>
              </w:rPr>
              <w:t>There is no</w:t>
            </w:r>
          </w:p>
        </w:tc>
        <w:tc>
          <w:tcPr>
            <w:tcW w:w="0" w:type="dxa"/>
            <w:vAlign w:val="bottom"/>
          </w:tcPr>
          <w:p>
            <w:pPr>
              <w:spacing w:after="0"/>
              <w:rPr>
                <w:sz w:val="1"/>
                <w:szCs w:val="1"/>
                <w:color w:val="auto"/>
              </w:rPr>
            </w:pPr>
          </w:p>
        </w:tc>
      </w:tr>
      <w:tr>
        <w:trPr>
          <w:trHeight w:val="82"/>
        </w:trPr>
        <w:tc>
          <w:tcPr>
            <w:tcW w:w="5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FF0000"/>
                <w:w w:val="93"/>
              </w:rPr>
              <w:t>actual use, saving HC2 significant overhead costs […] HC2’s 2019 Form 10-K</w:t>
            </w:r>
          </w:p>
        </w:tc>
        <w:tc>
          <w:tcPr>
            <w:tcW w:w="5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640" w:type="dxa"/>
            <w:vAlign w:val="bottom"/>
            <w:tcBorders>
              <w:left w:val="single" w:sz="8" w:color="auto"/>
              <w:right w:val="single" w:sz="8" w:color="auto"/>
            </w:tcBorders>
            <w:gridSpan w:val="3"/>
            <w:vMerge w:val="continue"/>
          </w:tcPr>
          <w:p>
            <w:pPr>
              <w:spacing w:after="0"/>
              <w:rPr>
                <w:sz w:val="8"/>
                <w:szCs w:val="8"/>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evidence that paying millions of dollars to Mr. Falcone’s firm benefits HC2’s</w:t>
            </w:r>
          </w:p>
        </w:tc>
        <w:tc>
          <w:tcPr>
            <w:tcW w:w="0" w:type="dxa"/>
            <w:vAlign w:val="bottom"/>
          </w:tcPr>
          <w:p>
            <w:pPr>
              <w:spacing w:after="0"/>
              <w:rPr>
                <w:sz w:val="1"/>
                <w:szCs w:val="1"/>
                <w:color w:val="auto"/>
              </w:rPr>
            </w:pPr>
          </w:p>
        </w:tc>
      </w:tr>
      <w:tr>
        <w:trPr>
          <w:trHeight w:val="82"/>
        </w:trPr>
        <w:tc>
          <w:tcPr>
            <w:tcW w:w="5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FF0000"/>
                <w:w w:val="90"/>
              </w:rPr>
              <w:t>provides enhanced disclosure around the services agreement and a breakdown of</w:t>
            </w:r>
          </w:p>
        </w:tc>
        <w:tc>
          <w:tcPr>
            <w:tcW w:w="5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640" w:type="dxa"/>
            <w:vAlign w:val="bottom"/>
            <w:tcBorders>
              <w:left w:val="single" w:sz="8" w:color="auto"/>
              <w:right w:val="single" w:sz="8" w:color="auto"/>
            </w:tcBorders>
            <w:gridSpan w:val="3"/>
            <w:vMerge w:val="continue"/>
          </w:tcPr>
          <w:p>
            <w:pPr>
              <w:spacing w:after="0"/>
              <w:rPr>
                <w:sz w:val="8"/>
                <w:szCs w:val="8"/>
                <w:color w:val="auto"/>
              </w:rPr>
            </w:pPr>
          </w:p>
        </w:tc>
        <w:tc>
          <w:tcPr>
            <w:tcW w:w="5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stockholders whatsoever – it is just drains precious capital.</w:t>
            </w:r>
          </w:p>
        </w:tc>
        <w:tc>
          <w:tcPr>
            <w:tcW w:w="0" w:type="dxa"/>
            <w:vAlign w:val="bottom"/>
          </w:tcPr>
          <w:p>
            <w:pPr>
              <w:spacing w:after="0"/>
              <w:rPr>
                <w:sz w:val="1"/>
                <w:szCs w:val="1"/>
                <w:color w:val="auto"/>
              </w:rPr>
            </w:pPr>
          </w:p>
        </w:tc>
      </w:tr>
      <w:tr>
        <w:trPr>
          <w:trHeight w:val="110"/>
        </w:trPr>
        <w:tc>
          <w:tcPr>
            <w:tcW w:w="5640" w:type="dxa"/>
            <w:vAlign w:val="bottom"/>
            <w:tcBorders>
              <w:left w:val="single" w:sz="8" w:color="auto"/>
              <w:right w:val="single" w:sz="8" w:color="auto"/>
            </w:tcBorders>
            <w:gridSpan w:val="3"/>
            <w:vMerge w:val="restart"/>
          </w:tcPr>
          <w:p>
            <w:pPr>
              <w:jc w:val="center"/>
              <w:ind w:right="20"/>
              <w:spacing w:after="0" w:line="172" w:lineRule="exact"/>
              <w:rPr>
                <w:sz w:val="20"/>
                <w:szCs w:val="20"/>
                <w:color w:val="auto"/>
              </w:rPr>
            </w:pPr>
            <w:r>
              <w:rPr>
                <w:rFonts w:ascii="Arial" w:cs="Arial" w:eastAsia="Arial" w:hAnsi="Arial"/>
                <w:sz w:val="16"/>
                <w:szCs w:val="16"/>
                <w:color w:val="FF0000"/>
                <w:w w:val="91"/>
              </w:rPr>
              <w:t>the annual costs incurred. Further, Mr. Falcone receives no remuneration as any part</w:t>
            </w:r>
          </w:p>
        </w:tc>
        <w:tc>
          <w:tcPr>
            <w:tcW w:w="5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5640" w:type="dxa"/>
            <w:vAlign w:val="bottom"/>
            <w:tcBorders>
              <w:left w:val="single" w:sz="8" w:color="auto"/>
              <w:right w:val="single" w:sz="8" w:color="auto"/>
            </w:tcBorders>
            <w:gridSpan w:val="3"/>
            <w:vMerge w:val="continue"/>
          </w:tcPr>
          <w:p>
            <w:pPr>
              <w:spacing w:after="0"/>
              <w:rPr>
                <w:sz w:val="5"/>
                <w:szCs w:val="5"/>
                <w:color w:val="auto"/>
              </w:rPr>
            </w:pPr>
          </w:p>
        </w:tc>
        <w:tc>
          <w:tcPr>
            <w:tcW w:w="56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740" w:type="dxa"/>
            <w:vAlign w:val="bottom"/>
            <w:tcBorders>
              <w:left w:val="single" w:sz="8" w:color="auto"/>
            </w:tcBorders>
          </w:tcPr>
          <w:p>
            <w:pPr>
              <w:jc w:val="center"/>
              <w:ind w:left="1818"/>
              <w:spacing w:after="0"/>
              <w:rPr>
                <w:sz w:val="20"/>
                <w:szCs w:val="20"/>
                <w:color w:val="auto"/>
              </w:rPr>
            </w:pPr>
            <w:r>
              <w:rPr>
                <w:rFonts w:ascii="Arial" w:cs="Arial" w:eastAsia="Arial" w:hAnsi="Arial"/>
                <w:sz w:val="16"/>
                <w:szCs w:val="16"/>
                <w:color w:val="FF0000"/>
                <w:w w:val="92"/>
              </w:rPr>
              <w:t>of the service agreement.”</w:t>
            </w:r>
          </w:p>
        </w:tc>
        <w:tc>
          <w:tcPr>
            <w:tcW w:w="160" w:type="dxa"/>
            <w:vAlign w:val="bottom"/>
            <w:tcBorders>
              <w:top w:val="single" w:sz="8" w:color="FF0000"/>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7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FF0000"/>
                <w:w w:val="93"/>
              </w:rPr>
              <w:t>“Not only did Mrs. Falcone never use stockholders’ resources for personal benefit,</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Everest Entertainment’s website, which was updated as recently as last year,</w:t>
            </w:r>
          </w:p>
        </w:tc>
        <w:tc>
          <w:tcPr>
            <w:tcW w:w="0" w:type="dxa"/>
            <w:vAlign w:val="bottom"/>
          </w:tcPr>
          <w:p>
            <w:pPr>
              <w:spacing w:after="0"/>
              <w:rPr>
                <w:sz w:val="1"/>
                <w:szCs w:val="1"/>
                <w:color w:val="auto"/>
              </w:rPr>
            </w:pPr>
          </w:p>
        </w:tc>
      </w:tr>
      <w:tr>
        <w:trPr>
          <w:trHeight w:val="90"/>
        </w:trPr>
        <w:tc>
          <w:tcPr>
            <w:tcW w:w="5640" w:type="dxa"/>
            <w:vAlign w:val="bottom"/>
            <w:tcBorders>
              <w:left w:val="single" w:sz="8" w:color="auto"/>
              <w:right w:val="single" w:sz="8" w:color="auto"/>
            </w:tcBorders>
            <w:gridSpan w:val="3"/>
            <w:vMerge w:val="continue"/>
          </w:tcPr>
          <w:p>
            <w:pPr>
              <w:spacing w:after="0"/>
              <w:rPr>
                <w:sz w:val="7"/>
                <w:szCs w:val="7"/>
                <w:color w:val="auto"/>
              </w:rPr>
            </w:pPr>
          </w:p>
        </w:tc>
        <w:tc>
          <w:tcPr>
            <w:tcW w:w="560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6"/>
                <w:szCs w:val="16"/>
                <w:b w:val="1"/>
                <w:bCs w:val="1"/>
                <w:color w:val="auto"/>
                <w:w w:val="91"/>
              </w:rPr>
              <w:t>does not imply it is non-operational – nor do Everest’s 2016 and 2018</w:t>
            </w:r>
          </w:p>
        </w:tc>
        <w:tc>
          <w:tcPr>
            <w:tcW w:w="0" w:type="dxa"/>
            <w:vAlign w:val="bottom"/>
          </w:tcPr>
          <w:p>
            <w:pPr>
              <w:spacing w:after="0"/>
              <w:rPr>
                <w:sz w:val="1"/>
                <w:szCs w:val="1"/>
                <w:color w:val="auto"/>
              </w:rPr>
            </w:pPr>
          </w:p>
        </w:tc>
      </w:tr>
      <w:tr>
        <w:trPr>
          <w:trHeight w:val="86"/>
        </w:trPr>
        <w:tc>
          <w:tcPr>
            <w:tcW w:w="5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FF0000"/>
                <w:w w:val="91"/>
              </w:rPr>
              <w:t>but Everest Entertainment has been non-operational since 2013.”</w:t>
            </w:r>
          </w:p>
        </w:tc>
        <w:tc>
          <w:tcPr>
            <w:tcW w:w="5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640" w:type="dxa"/>
            <w:vAlign w:val="bottom"/>
            <w:tcBorders>
              <w:left w:val="single" w:sz="8" w:color="auto"/>
              <w:right w:val="single" w:sz="8" w:color="auto"/>
            </w:tcBorders>
            <w:gridSpan w:val="3"/>
            <w:vMerge w:val="continue"/>
          </w:tcPr>
          <w:p>
            <w:pPr>
              <w:spacing w:after="0"/>
              <w:rPr>
                <w:sz w:val="10"/>
                <w:szCs w:val="10"/>
                <w:color w:val="auto"/>
              </w:rPr>
            </w:pPr>
          </w:p>
        </w:tc>
        <w:tc>
          <w:tcPr>
            <w:tcW w:w="5600" w:type="dxa"/>
            <w:vAlign w:val="bottom"/>
            <w:tcBorders>
              <w:right w:val="single" w:sz="8" w:color="auto"/>
            </w:tcBorders>
            <w:vMerge w:val="restart"/>
          </w:tcPr>
          <w:p>
            <w:pPr>
              <w:jc w:val="center"/>
              <w:spacing w:after="0" w:line="245" w:lineRule="exact"/>
              <w:rPr>
                <w:sz w:val="20"/>
                <w:szCs w:val="20"/>
                <w:color w:val="auto"/>
              </w:rPr>
            </w:pPr>
            <w:r>
              <w:rPr>
                <w:rFonts w:ascii="Arial" w:cs="Arial" w:eastAsia="Arial" w:hAnsi="Arial"/>
                <w:sz w:val="16"/>
                <w:szCs w:val="16"/>
                <w:b w:val="1"/>
                <w:bCs w:val="1"/>
                <w:color w:val="auto"/>
                <w:w w:val="90"/>
              </w:rPr>
              <w:t>regulatory filings that include HC2’s address.</w:t>
            </w:r>
            <w:r>
              <w:rPr>
                <w:rFonts w:ascii="Arial" w:cs="Arial" w:eastAsia="Arial" w:hAnsi="Arial"/>
                <w:sz w:val="27"/>
                <w:szCs w:val="27"/>
                <w:b w:val="1"/>
                <w:bCs w:val="1"/>
                <w:color w:val="auto"/>
                <w:w w:val="90"/>
                <w:vertAlign w:val="superscript"/>
              </w:rPr>
              <w:t>7</w:t>
            </w:r>
          </w:p>
        </w:tc>
        <w:tc>
          <w:tcPr>
            <w:tcW w:w="0" w:type="dxa"/>
            <w:vAlign w:val="bottom"/>
          </w:tcPr>
          <w:p>
            <w:pPr>
              <w:spacing w:after="0"/>
              <w:rPr>
                <w:sz w:val="1"/>
                <w:szCs w:val="1"/>
                <w:color w:val="auto"/>
              </w:rPr>
            </w:pPr>
          </w:p>
        </w:tc>
      </w:tr>
      <w:tr>
        <w:trPr>
          <w:trHeight w:val="128"/>
        </w:trPr>
        <w:tc>
          <w:tcPr>
            <w:tcW w:w="3740" w:type="dxa"/>
            <w:vAlign w:val="bottom"/>
            <w:tcBorders>
              <w:left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56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left="320" w:right="120"/>
        <w:spacing w:after="0" w:line="225" w:lineRule="auto"/>
        <w:rPr>
          <w:sz w:val="20"/>
          <w:szCs w:val="20"/>
          <w:color w:val="auto"/>
        </w:rPr>
      </w:pPr>
      <w:r>
        <w:rPr>
          <w:rFonts w:ascii="Arial" w:cs="Arial" w:eastAsia="Arial" w:hAnsi="Arial"/>
          <w:sz w:val="20"/>
          <w:szCs w:val="20"/>
          <w:b w:val="1"/>
          <w:bCs w:val="1"/>
          <w:i w:val="1"/>
          <w:iCs w:val="1"/>
          <w:u w:val="single" w:color="auto"/>
          <w:color w:val="auto"/>
        </w:rPr>
        <w:t>THE TIME IS NOW TO ELECT A BETTER BOARD WITH SUPERIOR INTEGRITY, EXPERTISE AND SKILLS – THAT IS WHAT WE ARE OFFERING VIA OUR CONSENT SOLICIATION.</w:t>
      </w:r>
    </w:p>
    <w:p>
      <w:pPr>
        <w:spacing w:after="0" w:line="120" w:lineRule="exact"/>
        <w:rPr>
          <w:sz w:val="20"/>
          <w:szCs w:val="20"/>
          <w:color w:val="auto"/>
        </w:rPr>
      </w:pPr>
    </w:p>
    <w:p>
      <w:pPr>
        <w:jc w:val="both"/>
        <w:ind w:left="2"/>
        <w:spacing w:after="0" w:line="205" w:lineRule="auto"/>
        <w:rPr>
          <w:sz w:val="20"/>
          <w:szCs w:val="20"/>
          <w:color w:val="auto"/>
        </w:rPr>
      </w:pPr>
      <w:r>
        <w:rPr>
          <w:rFonts w:ascii="Arial" w:cs="Arial" w:eastAsia="Arial" w:hAnsi="Arial"/>
          <w:sz w:val="20"/>
          <w:szCs w:val="20"/>
          <w:color w:val="auto"/>
        </w:rPr>
        <w:t>MG Capital has recruited a world-class slate of director nominees that possesses significant experience serving on public company boards of directors and helping businesses realize their true potential. Each of our nominees was recruited because they have particular expertise or skillsets that can help address HC2’s near-term challenges and help seize on long-term value-creation opportunities. When you impartially evaluate our six nominees, we believe it is clear they have what it takes to transform HC2’s dismal governance and bring a Fortune 100 mentality to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439420</wp:posOffset>
            </wp:positionV>
            <wp:extent cx="14941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41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2" w:hanging="122"/>
        <w:spacing w:after="0"/>
        <w:tabs>
          <w:tab w:leader="none" w:pos="122" w:val="left"/>
        </w:tabs>
        <w:numPr>
          <w:ilvl w:val="0"/>
          <w:numId w:val="8"/>
        </w:numPr>
        <w:rPr>
          <w:rFonts w:ascii="Arial" w:cs="Arial" w:eastAsia="Arial" w:hAnsi="Arial"/>
          <w:sz w:val="32"/>
          <w:szCs w:val="32"/>
          <w:color w:val="auto"/>
          <w:vertAlign w:val="superscript"/>
        </w:rPr>
      </w:pPr>
      <w:r>
        <w:rPr>
          <w:rFonts w:ascii="Arial" w:cs="Arial" w:eastAsia="Arial" w:hAnsi="Arial"/>
          <w:sz w:val="13"/>
          <w:szCs w:val="13"/>
          <w:color w:val="auto"/>
        </w:rPr>
        <w:t>MG Capital presentation entitled “The Reality Check HC2 Needs,” dated April 17, 2020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14502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463" w:right="339" w:bottom="1440" w:gutter="0" w:footer="0" w:header="0"/>
        </w:sectPr>
      </w:pPr>
    </w:p>
    <w:bookmarkStart w:id="6" w:name="page7"/>
    <w:bookmarkEnd w:id="6"/>
    <w:p>
      <w:pPr>
        <w:ind w:left="302" w:hanging="302"/>
        <w:spacing w:after="0"/>
        <w:tabs>
          <w:tab w:leader="none" w:pos="302"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George Brokaw – A Proven Banker, Investor and Public Company Director with Cross-Sector Expertise</w:t>
      </w:r>
    </w:p>
    <w:p>
      <w:pPr>
        <w:spacing w:after="0" w:line="199" w:lineRule="exact"/>
        <w:rPr>
          <w:rFonts w:ascii="Arial" w:cs="Arial" w:eastAsia="Arial" w:hAnsi="Arial"/>
          <w:sz w:val="16"/>
          <w:szCs w:val="16"/>
          <w:color w:val="auto"/>
        </w:rPr>
      </w:pPr>
    </w:p>
    <w:p>
      <w:pPr>
        <w:ind w:left="582" w:hanging="294"/>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i w:val="1"/>
          <w:iCs w:val="1"/>
          <w:color w:val="auto"/>
        </w:rPr>
        <w:t>Mr. Brokaw is an accomplished transaction advisor and public company director with deep expertise in broadcasting, telecommunications, energy, and the other</w:t>
      </w:r>
      <w:r>
        <w:rPr>
          <w:rFonts w:ascii="Arial" w:cs="Arial" w:eastAsia="Arial" w:hAnsi="Arial"/>
          <w:sz w:val="16"/>
          <w:szCs w:val="16"/>
          <w:color w:val="auto"/>
        </w:rPr>
        <w:t xml:space="preserve"> </w:t>
      </w:r>
      <w:r>
        <w:rPr>
          <w:rFonts w:ascii="Arial" w:cs="Arial" w:eastAsia="Arial" w:hAnsi="Arial"/>
          <w:sz w:val="16"/>
          <w:szCs w:val="16"/>
          <w:i w:val="1"/>
          <w:iCs w:val="1"/>
          <w:color w:val="auto"/>
        </w:rPr>
        <w:t>sectors HC2 invests in.</w:t>
      </w:r>
    </w:p>
    <w:p>
      <w:pPr>
        <w:spacing w:after="0" w:line="137" w:lineRule="exact"/>
        <w:rPr>
          <w:rFonts w:ascii="Arial" w:cs="Arial" w:eastAsia="Arial" w:hAnsi="Arial"/>
          <w:sz w:val="16"/>
          <w:szCs w:val="16"/>
          <w:color w:val="auto"/>
        </w:rPr>
      </w:pPr>
    </w:p>
    <w:p>
      <w:pPr>
        <w:ind w:left="582" w:hanging="294"/>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i w:val="1"/>
          <w:iCs w:val="1"/>
          <w:color w:val="auto"/>
        </w:rPr>
        <w:t>He currently serves on Dish Network’s Board of Directors and has held several other directorships over the years, enabling him to immediately add value when</w:t>
      </w:r>
      <w:r>
        <w:rPr>
          <w:rFonts w:ascii="Arial" w:cs="Arial" w:eastAsia="Arial" w:hAnsi="Arial"/>
          <w:sz w:val="16"/>
          <w:szCs w:val="16"/>
          <w:color w:val="auto"/>
        </w:rPr>
        <w:t xml:space="preserve"> </w:t>
      </w:r>
      <w:r>
        <w:rPr>
          <w:rFonts w:ascii="Arial" w:cs="Arial" w:eastAsia="Arial" w:hAnsi="Arial"/>
          <w:sz w:val="16"/>
          <w:szCs w:val="16"/>
          <w:i w:val="1"/>
          <w:iCs w:val="1"/>
          <w:color w:val="auto"/>
        </w:rPr>
        <w:t>assessing HC2 Broadcasting and other assets in regulated industries.</w:t>
      </w:r>
    </w:p>
    <w:p>
      <w:pPr>
        <w:spacing w:after="0" w:line="137" w:lineRule="exact"/>
        <w:rPr>
          <w:rFonts w:ascii="Arial" w:cs="Arial" w:eastAsia="Arial" w:hAnsi="Arial"/>
          <w:sz w:val="16"/>
          <w:szCs w:val="16"/>
          <w:color w:val="auto"/>
        </w:rPr>
      </w:pPr>
    </w:p>
    <w:p>
      <w:pPr>
        <w:ind w:left="582" w:hanging="294"/>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i w:val="1"/>
          <w:iCs w:val="1"/>
          <w:color w:val="auto"/>
        </w:rPr>
        <w:t>His background at top investment banks (e.g. Lazard) and premier investment firms (e.g. HPS Investment Partners) has put him in a position to already have</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discussions with potential asset acquirers and possible sources of lower-cost debt refinancing.</w:t>
      </w:r>
    </w:p>
    <w:p>
      <w:pPr>
        <w:spacing w:after="0" w:line="133" w:lineRule="exact"/>
        <w:rPr>
          <w:rFonts w:ascii="Arial" w:cs="Arial" w:eastAsia="Arial" w:hAnsi="Arial"/>
          <w:sz w:val="16"/>
          <w:szCs w:val="16"/>
          <w:color w:val="auto"/>
        </w:rPr>
      </w:pPr>
    </w:p>
    <w:p>
      <w:pPr>
        <w:ind w:left="302" w:hanging="302"/>
        <w:spacing w:after="0"/>
        <w:tabs>
          <w:tab w:leader="none" w:pos="302"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Kenneth Courtis – A World-Class Investor, Corporate Director, and Economist with Experience Advising Three U.S. Presidents</w:t>
      </w:r>
    </w:p>
    <w:p>
      <w:pPr>
        <w:spacing w:after="0" w:line="199"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15"/>
          <w:szCs w:val="15"/>
          <w:i w:val="1"/>
          <w:iCs w:val="1"/>
          <w:color w:val="auto"/>
        </w:rPr>
        <w:t>Mr. Courtis is a premier investment strategist with asset management, construction and energy, and board experience that can help optimize HC2’s portfolio.</w:t>
      </w:r>
    </w:p>
    <w:p>
      <w:pPr>
        <w:spacing w:after="0" w:line="207" w:lineRule="exact"/>
        <w:rPr>
          <w:rFonts w:ascii="Arial" w:cs="Arial" w:eastAsia="Arial" w:hAnsi="Arial"/>
          <w:sz w:val="16"/>
          <w:szCs w:val="16"/>
          <w:color w:val="auto"/>
        </w:rPr>
      </w:pPr>
    </w:p>
    <w:p>
      <w:pPr>
        <w:ind w:left="582" w:hanging="294"/>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i w:val="1"/>
          <w:iCs w:val="1"/>
          <w:color w:val="auto"/>
        </w:rPr>
        <w:t>He has held senior and partner-level positions at leading investment banks, such as The Goldman Sachs Group, meaning he has relationships across the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markets to help HC2 as it explores asset sales and debt refinancing efforts.</w:t>
      </w:r>
    </w:p>
    <w:p>
      <w:pPr>
        <w:spacing w:after="0" w:line="137" w:lineRule="exact"/>
        <w:rPr>
          <w:rFonts w:ascii="Arial" w:cs="Arial" w:eastAsia="Arial" w:hAnsi="Arial"/>
          <w:sz w:val="16"/>
          <w:szCs w:val="16"/>
          <w:color w:val="auto"/>
        </w:rPr>
      </w:pPr>
    </w:p>
    <w:p>
      <w:pPr>
        <w:ind w:left="582" w:hanging="294"/>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o </w:t>
      </w:r>
      <w:r>
        <w:rPr>
          <w:rFonts w:ascii="Arial" w:cs="Arial" w:eastAsia="Arial" w:hAnsi="Arial"/>
          <w:sz w:val="16"/>
          <w:szCs w:val="16"/>
          <w:i w:val="1"/>
          <w:iCs w:val="1"/>
          <w:color w:val="auto"/>
        </w:rPr>
        <w:t>His background includes advising Presidents George H. W. Bush, William J. Clinton, and George W. Bush – providing him unique insight into how public</w:t>
      </w:r>
      <w:r>
        <w:rPr>
          <w:rFonts w:ascii="Arial" w:cs="Arial" w:eastAsia="Arial" w:hAnsi="Arial"/>
          <w:sz w:val="16"/>
          <w:szCs w:val="16"/>
          <w:color w:val="auto"/>
        </w:rPr>
        <w:t xml:space="preserve"> </w:t>
      </w:r>
      <w:r>
        <w:rPr>
          <w:rFonts w:ascii="Arial" w:cs="Arial" w:eastAsia="Arial" w:hAnsi="Arial"/>
          <w:sz w:val="16"/>
          <w:szCs w:val="16"/>
          <w:i w:val="1"/>
          <w:iCs w:val="1"/>
          <w:color w:val="auto"/>
        </w:rPr>
        <w:t>policymakers and regulators assess businesses.</w:t>
      </w:r>
    </w:p>
    <w:p>
      <w:pPr>
        <w:spacing w:after="0" w:line="133" w:lineRule="exact"/>
        <w:rPr>
          <w:rFonts w:ascii="Arial" w:cs="Arial" w:eastAsia="Arial" w:hAnsi="Arial"/>
          <w:sz w:val="16"/>
          <w:szCs w:val="16"/>
          <w:color w:val="auto"/>
        </w:rPr>
      </w:pPr>
    </w:p>
    <w:p>
      <w:pPr>
        <w:ind w:left="302" w:hanging="302"/>
        <w:spacing w:after="0"/>
        <w:tabs>
          <w:tab w:leader="none" w:pos="302"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Michael Gorzynski – A Premier Cross-Sector Investor with Significant Insurance and Complex Debt Restructuring Expertise</w:t>
      </w:r>
    </w:p>
    <w:p>
      <w:pPr>
        <w:spacing w:after="0" w:line="200" w:lineRule="exact"/>
        <w:rPr>
          <w:sz w:val="20"/>
          <w:szCs w:val="20"/>
          <w:color w:val="auto"/>
        </w:rPr>
      </w:pPr>
    </w:p>
    <w:p>
      <w:pPr>
        <w:ind w:left="662" w:hanging="294"/>
        <w:spacing w:after="0" w:line="286" w:lineRule="auto"/>
        <w:tabs>
          <w:tab w:leader="none" w:pos="66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Mr. Gorzynski is a seasoned investment manager with two decades of investing and advisory experience at institutions such as Third Point, Spectrum Equity Partners, and Credit Suisse.</w:t>
      </w:r>
    </w:p>
    <w:p>
      <w:pPr>
        <w:spacing w:after="0" w:line="137" w:lineRule="exact"/>
        <w:rPr>
          <w:rFonts w:ascii="Arial" w:cs="Arial" w:eastAsia="Arial" w:hAnsi="Arial"/>
          <w:sz w:val="16"/>
          <w:szCs w:val="16"/>
          <w:color w:val="auto"/>
        </w:rPr>
      </w:pPr>
    </w:p>
    <w:p>
      <w:pPr>
        <w:ind w:left="662" w:hanging="294"/>
        <w:spacing w:after="0" w:line="286" w:lineRule="auto"/>
        <w:tabs>
          <w:tab w:leader="none" w:pos="66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He has robust experience overseeing the turnaround of a diverse portfolio of underperforming assets, including via debt restructurings and strategic transactions across sectors such as broadcasting, telecommunications, insurance, and energy.</w:t>
      </w:r>
    </w:p>
    <w:p>
      <w:pPr>
        <w:spacing w:after="0" w:line="137" w:lineRule="exact"/>
        <w:rPr>
          <w:rFonts w:ascii="Arial" w:cs="Arial" w:eastAsia="Arial" w:hAnsi="Arial"/>
          <w:sz w:val="16"/>
          <w:szCs w:val="16"/>
          <w:color w:val="auto"/>
        </w:rPr>
      </w:pPr>
    </w:p>
    <w:p>
      <w:pPr>
        <w:ind w:left="662" w:hanging="294"/>
        <w:spacing w:after="0" w:line="286" w:lineRule="auto"/>
        <w:tabs>
          <w:tab w:leader="none" w:pos="66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He recently orchestrated the turnaround and sale of InnovaCare for nearly $1.4 billion, affording him unique perspectives and experience when assessing the best path forward for Continental General, especially given its regulatory headwinds.</w:t>
      </w:r>
    </w:p>
    <w:p>
      <w:pPr>
        <w:spacing w:after="0" w:line="133" w:lineRule="exact"/>
        <w:rPr>
          <w:rFonts w:ascii="Arial" w:cs="Arial" w:eastAsia="Arial" w:hAnsi="Arial"/>
          <w:sz w:val="16"/>
          <w:szCs w:val="16"/>
          <w:color w:val="auto"/>
        </w:rPr>
      </w:pPr>
    </w:p>
    <w:p>
      <w:pPr>
        <w:ind w:left="302" w:hanging="302"/>
        <w:spacing w:after="0" w:line="291" w:lineRule="auto"/>
        <w:tabs>
          <w:tab w:leader="none" w:pos="302"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Robin Greenwood – A Leading Corporate Governance Authority and Strategic Advisor to Some of the World’s Most Respected Public and Private Institutions</w:t>
      </w:r>
    </w:p>
    <w:p>
      <w:pPr>
        <w:spacing w:after="0" w:line="133" w:lineRule="exact"/>
        <w:rPr>
          <w:rFonts w:ascii="Arial" w:cs="Arial" w:eastAsia="Arial" w:hAnsi="Arial"/>
          <w:sz w:val="16"/>
          <w:szCs w:val="16"/>
          <w:color w:val="auto"/>
        </w:rPr>
      </w:pPr>
    </w:p>
    <w:p>
      <w:pPr>
        <w:ind w:left="662" w:hanging="294"/>
        <w:spacing w:after="0" w:line="286" w:lineRule="auto"/>
        <w:tabs>
          <w:tab w:leader="none" w:pos="66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Mr. Greenwood is a respected Harvard Business School educator, published thought-leader and noted corporate governance expert who will champion HC2 stockholders’ best interests in the boardroom if elected.</w:t>
      </w:r>
    </w:p>
    <w:p>
      <w:pPr>
        <w:spacing w:after="0" w:line="137" w:lineRule="exact"/>
        <w:rPr>
          <w:rFonts w:ascii="Arial" w:cs="Arial" w:eastAsia="Arial" w:hAnsi="Arial"/>
          <w:sz w:val="16"/>
          <w:szCs w:val="16"/>
          <w:color w:val="auto"/>
        </w:rPr>
      </w:pPr>
    </w:p>
    <w:p>
      <w:pPr>
        <w:ind w:left="662" w:hanging="294"/>
        <w:spacing w:after="0" w:line="286" w:lineRule="auto"/>
        <w:tabs>
          <w:tab w:leader="none" w:pos="66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He is currently the Chair of the Harvard Finance Department and serves as a Member of the Financial Advisory Roundtable of the Federal Reserve Bank of New York, providing him with a deep understanding of the capital markets that can benefit HC2 as it seeks liquidity.</w:t>
      </w:r>
    </w:p>
    <w:p>
      <w:pPr>
        <w:spacing w:after="0" w:line="137" w:lineRule="exact"/>
        <w:rPr>
          <w:rFonts w:ascii="Arial" w:cs="Arial" w:eastAsia="Arial" w:hAnsi="Arial"/>
          <w:sz w:val="16"/>
          <w:szCs w:val="16"/>
          <w:color w:val="auto"/>
        </w:rPr>
      </w:pPr>
    </w:p>
    <w:p>
      <w:pPr>
        <w:ind w:left="662" w:hanging="294"/>
        <w:spacing w:after="0" w:line="286" w:lineRule="auto"/>
        <w:tabs>
          <w:tab w:leader="none" w:pos="662"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He has published pioneering analysis and studies on topics such as activist investing and complex debt restructurings – affording him the perspectives required to help HC2 cut compensation, slash overhead, and streamline holding company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4502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466" w:right="339" w:bottom="1440" w:gutter="0" w:footer="0" w:header="0"/>
        </w:sectPr>
      </w:pPr>
    </w:p>
    <w:bookmarkStart w:id="7" w:name="page8"/>
    <w:bookmarkEnd w:id="7"/>
    <w:p>
      <w:pPr>
        <w:ind w:left="302" w:hanging="302"/>
        <w:spacing w:after="0"/>
        <w:tabs>
          <w:tab w:leader="none" w:pos="30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Liesl Hickey – A Respected Regulatory and Public Policy Advisor with A Breadth of Experience Advising Fortune 500 Companies</w:t>
      </w:r>
    </w:p>
    <w:p>
      <w:pPr>
        <w:spacing w:after="0" w:line="200" w:lineRule="exact"/>
        <w:rPr>
          <w:sz w:val="20"/>
          <w:szCs w:val="20"/>
          <w:color w:val="auto"/>
        </w:rPr>
      </w:pPr>
    </w:p>
    <w:p>
      <w:pPr>
        <w:ind w:left="662" w:hanging="294"/>
        <w:spacing w:after="0" w:line="286" w:lineRule="auto"/>
        <w:tabs>
          <w:tab w:leader="none" w:pos="662"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Ms. Hickey is a veteran political strategist who has worked for years at the highest levels of politics and issues advocacy, which equips her to guide HC2 and its subsidiaries through its various regulatory issues.</w:t>
      </w:r>
    </w:p>
    <w:p>
      <w:pPr>
        <w:spacing w:after="0" w:line="137" w:lineRule="exact"/>
        <w:rPr>
          <w:rFonts w:ascii="Arial" w:cs="Arial" w:eastAsia="Arial" w:hAnsi="Arial"/>
          <w:sz w:val="16"/>
          <w:szCs w:val="16"/>
          <w:color w:val="auto"/>
        </w:rPr>
      </w:pPr>
    </w:p>
    <w:p>
      <w:pPr>
        <w:ind w:left="662" w:hanging="294"/>
        <w:spacing w:after="0" w:line="286" w:lineRule="auto"/>
        <w:tabs>
          <w:tab w:leader="none" w:pos="662"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She is well-connected across many of HC2’s sectors, serving as partner at an international media company and as a senior advisor to multiple, established strategic consulting and government affairs firms.</w:t>
      </w:r>
    </w:p>
    <w:p>
      <w:pPr>
        <w:spacing w:after="0" w:line="137" w:lineRule="exact"/>
        <w:rPr>
          <w:rFonts w:ascii="Arial" w:cs="Arial" w:eastAsia="Arial" w:hAnsi="Arial"/>
          <w:sz w:val="16"/>
          <w:szCs w:val="16"/>
          <w:color w:val="auto"/>
        </w:rPr>
      </w:pPr>
    </w:p>
    <w:p>
      <w:pPr>
        <w:jc w:val="both"/>
        <w:ind w:left="662" w:hanging="294"/>
        <w:spacing w:after="0" w:line="361" w:lineRule="auto"/>
        <w:tabs>
          <w:tab w:leader="none" w:pos="662" w:val="left"/>
        </w:tabs>
        <w:numPr>
          <w:ilvl w:val="1"/>
          <w:numId w:val="12"/>
        </w:numPr>
        <w:rPr>
          <w:rFonts w:ascii="Arial" w:cs="Arial" w:eastAsia="Arial" w:hAnsi="Arial"/>
          <w:sz w:val="14"/>
          <w:szCs w:val="14"/>
          <w:color w:val="auto"/>
        </w:rPr>
      </w:pPr>
      <w:r>
        <w:rPr>
          <w:rFonts w:ascii="Arial" w:cs="Arial" w:eastAsia="Arial" w:hAnsi="Arial"/>
          <w:sz w:val="14"/>
          <w:szCs w:val="14"/>
          <w:i w:val="1"/>
          <w:iCs w:val="1"/>
          <w:color w:val="auto"/>
        </w:rPr>
        <w:t>Her background – anchored in public policy and regulation – would allow her to leverage best-in-class relationships with policymakers (on both the state and federal level) to determine how HC2 can mend its relationships and guide Continental General through the Texas Department of Insurance’s active investigation.</w:t>
      </w:r>
    </w:p>
    <w:p>
      <w:pPr>
        <w:spacing w:after="0" w:line="87" w:lineRule="exact"/>
        <w:rPr>
          <w:rFonts w:ascii="Arial" w:cs="Arial" w:eastAsia="Arial" w:hAnsi="Arial"/>
          <w:sz w:val="14"/>
          <w:szCs w:val="14"/>
          <w:color w:val="auto"/>
        </w:rPr>
      </w:pPr>
    </w:p>
    <w:p>
      <w:pPr>
        <w:ind w:left="302" w:hanging="302"/>
        <w:spacing w:after="0"/>
        <w:tabs>
          <w:tab w:leader="none" w:pos="302"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Jay Newman – A Seasoned Investor and Litigator Possessing Decades of Experience in Asset Recovery and Debt Restructuring Initiatives</w:t>
      </w:r>
    </w:p>
    <w:p>
      <w:pPr>
        <w:spacing w:after="0" w:line="199" w:lineRule="exact"/>
        <w:rPr>
          <w:rFonts w:ascii="Arial" w:cs="Arial" w:eastAsia="Arial" w:hAnsi="Arial"/>
          <w:sz w:val="16"/>
          <w:szCs w:val="16"/>
          <w:color w:val="auto"/>
        </w:rPr>
      </w:pPr>
    </w:p>
    <w:p>
      <w:pPr>
        <w:ind w:left="662" w:hanging="294"/>
        <w:spacing w:after="0" w:line="286" w:lineRule="auto"/>
        <w:tabs>
          <w:tab w:leader="none" w:pos="662"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Mr. Newman is an accomplished investment professional with a track record of success in both debt management and reduction strategies across the sectors that HC2 invests in.</w:t>
      </w:r>
    </w:p>
    <w:p>
      <w:pPr>
        <w:spacing w:after="0" w:line="137" w:lineRule="exact"/>
        <w:rPr>
          <w:rFonts w:ascii="Arial" w:cs="Arial" w:eastAsia="Arial" w:hAnsi="Arial"/>
          <w:sz w:val="16"/>
          <w:szCs w:val="16"/>
          <w:color w:val="auto"/>
        </w:rPr>
      </w:pPr>
    </w:p>
    <w:p>
      <w:pPr>
        <w:jc w:val="both"/>
        <w:ind w:left="662" w:hanging="294"/>
        <w:spacing w:after="0" w:line="271" w:lineRule="auto"/>
        <w:tabs>
          <w:tab w:leader="none" w:pos="662"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He previously served as senior portfolio manager and member of the Management Committee at Elliott Management Corporation and possesses a 40-year career creating value for shareholders through refinancing initiatives at large public companies and sovereigns, which is why he would be well-suited to handle the re-balancing of HC2’s bloated balance sheet.</w:t>
      </w:r>
    </w:p>
    <w:p>
      <w:pPr>
        <w:spacing w:after="0" w:line="148" w:lineRule="exact"/>
        <w:rPr>
          <w:rFonts w:ascii="Arial" w:cs="Arial" w:eastAsia="Arial" w:hAnsi="Arial"/>
          <w:sz w:val="16"/>
          <w:szCs w:val="16"/>
          <w:color w:val="auto"/>
        </w:rPr>
      </w:pPr>
    </w:p>
    <w:p>
      <w:pPr>
        <w:jc w:val="both"/>
        <w:ind w:left="662" w:hanging="294"/>
        <w:spacing w:after="0" w:line="271" w:lineRule="auto"/>
        <w:tabs>
          <w:tab w:leader="none" w:pos="662"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His background at one of the most well-known American investment management firms (Elliott) and leading American investment bank (Morgan Stanley) has made him an investment expert and provided a deep bench of institutional relationships that will help him identify potential attractive debt re-financing terms for HC2 if elected to the Board.</w:t>
      </w:r>
    </w:p>
    <w:p>
      <w:pPr>
        <w:spacing w:after="0" w:line="130" w:lineRule="exact"/>
        <w:rPr>
          <w:sz w:val="20"/>
          <w:szCs w:val="20"/>
          <w:color w:val="auto"/>
        </w:rPr>
      </w:pPr>
    </w:p>
    <w:p>
      <w:pPr>
        <w:jc w:val="both"/>
        <w:ind w:left="2"/>
        <w:spacing w:after="0" w:line="214" w:lineRule="auto"/>
        <w:rPr>
          <w:sz w:val="20"/>
          <w:szCs w:val="20"/>
          <w:color w:val="auto"/>
        </w:rPr>
      </w:pPr>
      <w:r>
        <w:rPr>
          <w:rFonts w:ascii="Arial" w:cs="Arial" w:eastAsia="Arial" w:hAnsi="Arial"/>
          <w:sz w:val="20"/>
          <w:szCs w:val="20"/>
          <w:color w:val="auto"/>
        </w:rPr>
        <w:t>As shown in the chart below, our slate possesses 4x the number of relevant attributes and skills compared to the incumbent Board. This has enabled our nominees to not only develop a comprehensive strategy and transition plan for HC2, but it has helped them already begin identifying pathways to reducing debt and monetizing non-core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14502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466" w:right="339" w:bottom="1440" w:gutter="0" w:footer="0" w:header="0"/>
        </w:sectPr>
      </w:pPr>
    </w:p>
    <w:bookmarkStart w:id="8" w:name="page9"/>
    <w:bookmarkEnd w:id="8"/>
    <w:tbl>
      <w:tblPr>
        <w:tblLayout w:type="fixed"/>
        <w:tblInd w:w="2" w:type="dxa"/>
        <w:tblCellMar>
          <w:top w:w="0" w:type="dxa"/>
          <w:left w:w="0" w:type="dxa"/>
          <w:bottom w:w="0" w:type="dxa"/>
          <w:right w:w="0" w:type="dxa"/>
        </w:tblCellMar>
      </w:tblPr>
      <w:tr>
        <w:trPr>
          <w:trHeight w:val="151"/>
        </w:trPr>
        <w:tc>
          <w:tcPr>
            <w:tcW w:w="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shd w:val="clear" w:color="auto" w:fill="002060"/>
          </w:tcPr>
          <w:p>
            <w:pPr>
              <w:spacing w:after="0"/>
              <w:rPr>
                <w:sz w:val="13"/>
                <w:szCs w:val="13"/>
                <w:color w:val="auto"/>
              </w:rPr>
            </w:pPr>
          </w:p>
        </w:tc>
        <w:tc>
          <w:tcPr>
            <w:tcW w:w="300" w:type="dxa"/>
            <w:vAlign w:val="bottom"/>
            <w:tcBorders>
              <w:top w:val="single" w:sz="8" w:color="auto"/>
            </w:tcBorders>
            <w:shd w:val="clear" w:color="auto" w:fill="002060"/>
          </w:tcPr>
          <w:p>
            <w:pPr>
              <w:spacing w:after="0"/>
              <w:rPr>
                <w:sz w:val="13"/>
                <w:szCs w:val="13"/>
                <w:color w:val="auto"/>
              </w:rPr>
            </w:pPr>
          </w:p>
        </w:tc>
        <w:tc>
          <w:tcPr>
            <w:tcW w:w="620" w:type="dxa"/>
            <w:vAlign w:val="bottom"/>
            <w:tcBorders>
              <w:top w:val="single" w:sz="8" w:color="auto"/>
            </w:tcBorders>
            <w:gridSpan w:val="2"/>
            <w:shd w:val="clear" w:color="auto" w:fill="002060"/>
          </w:tcPr>
          <w:p>
            <w:pPr>
              <w:jc w:val="center"/>
              <w:ind w:right="320"/>
              <w:spacing w:after="0"/>
              <w:rPr>
                <w:sz w:val="20"/>
                <w:szCs w:val="20"/>
                <w:color w:val="auto"/>
              </w:rPr>
            </w:pPr>
            <w:r>
              <w:rPr>
                <w:rFonts w:ascii="Arial" w:cs="Arial" w:eastAsia="Arial" w:hAnsi="Arial"/>
                <w:sz w:val="13"/>
                <w:szCs w:val="13"/>
                <w:b w:val="1"/>
                <w:bCs w:val="1"/>
                <w:color w:val="F8F8FA"/>
                <w:w w:val="84"/>
              </w:rPr>
              <w:t>Asset</w:t>
            </w:r>
          </w:p>
        </w:tc>
        <w:tc>
          <w:tcPr>
            <w:tcW w:w="1000" w:type="dxa"/>
            <w:vAlign w:val="bottom"/>
            <w:tcBorders>
              <w:top w:val="single" w:sz="8" w:color="auto"/>
            </w:tcBorders>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90"/>
              </w:rPr>
              <w:t>Deep Gov.</w:t>
            </w:r>
          </w:p>
        </w:tc>
        <w:tc>
          <w:tcPr>
            <w:tcW w:w="1300" w:type="dxa"/>
            <w:vAlign w:val="bottom"/>
            <w:tcBorders>
              <w:top w:val="single" w:sz="8" w:color="auto"/>
            </w:tcBorders>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93"/>
              </w:rPr>
              <w:t>Debt Restructuring</w:t>
            </w:r>
          </w:p>
        </w:tc>
        <w:tc>
          <w:tcPr>
            <w:tcW w:w="1100" w:type="dxa"/>
            <w:vAlign w:val="bottom"/>
            <w:tcBorders>
              <w:top w:val="single" w:sz="8" w:color="auto"/>
            </w:tcBorders>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94"/>
              </w:rPr>
              <w:t>Regulatory Affairs</w:t>
            </w:r>
          </w:p>
        </w:tc>
        <w:tc>
          <w:tcPr>
            <w:tcW w:w="1140" w:type="dxa"/>
            <w:vAlign w:val="bottom"/>
            <w:tcBorders>
              <w:top w:val="single" w:sz="8" w:color="auto"/>
            </w:tcBorders>
            <w:gridSpan w:val="3"/>
            <w:vMerge w:val="restart"/>
            <w:shd w:val="clear" w:color="auto" w:fill="002060"/>
          </w:tcPr>
          <w:p>
            <w:pPr>
              <w:jc w:val="center"/>
              <w:ind w:right="40"/>
              <w:spacing w:after="0"/>
              <w:rPr>
                <w:sz w:val="20"/>
                <w:szCs w:val="20"/>
                <w:color w:val="auto"/>
              </w:rPr>
            </w:pPr>
            <w:r>
              <w:rPr>
                <w:rFonts w:ascii="Arial" w:cs="Arial" w:eastAsia="Arial" w:hAnsi="Arial"/>
                <w:sz w:val="13"/>
                <w:szCs w:val="13"/>
                <w:b w:val="1"/>
                <w:bCs w:val="1"/>
                <w:color w:val="F8F8FA"/>
                <w:w w:val="87"/>
              </w:rPr>
              <w:t>Broadcast Sector</w:t>
            </w:r>
          </w:p>
        </w:tc>
        <w:tc>
          <w:tcPr>
            <w:tcW w:w="1020" w:type="dxa"/>
            <w:vAlign w:val="bottom"/>
            <w:tcBorders>
              <w:top w:val="single" w:sz="8" w:color="auto"/>
            </w:tcBorders>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90"/>
              </w:rPr>
              <w:t>Energy Sector</w:t>
            </w:r>
          </w:p>
        </w:tc>
        <w:tc>
          <w:tcPr>
            <w:tcW w:w="1340" w:type="dxa"/>
            <w:vAlign w:val="bottom"/>
            <w:tcBorders>
              <w:top w:val="single" w:sz="8" w:color="auto"/>
            </w:tcBorders>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91"/>
              </w:rPr>
              <w:t>Infrastructure Sector</w:t>
            </w:r>
          </w:p>
        </w:tc>
        <w:tc>
          <w:tcPr>
            <w:tcW w:w="1120" w:type="dxa"/>
            <w:vAlign w:val="bottom"/>
            <w:tcBorders>
              <w:top w:val="single" w:sz="8" w:color="auto"/>
            </w:tcBorders>
            <w:gridSpan w:val="5"/>
            <w:vMerge w:val="restart"/>
            <w:shd w:val="clear" w:color="auto" w:fill="002060"/>
          </w:tcPr>
          <w:p>
            <w:pPr>
              <w:jc w:val="center"/>
              <w:ind w:right="40"/>
              <w:spacing w:after="0"/>
              <w:rPr>
                <w:sz w:val="20"/>
                <w:szCs w:val="20"/>
                <w:color w:val="auto"/>
              </w:rPr>
            </w:pPr>
            <w:r>
              <w:rPr>
                <w:rFonts w:ascii="Arial" w:cs="Arial" w:eastAsia="Arial" w:hAnsi="Arial"/>
                <w:sz w:val="13"/>
                <w:szCs w:val="13"/>
                <w:b w:val="1"/>
                <w:bCs w:val="1"/>
                <w:color w:val="F8F8FA"/>
                <w:w w:val="90"/>
              </w:rPr>
              <w:t>Insurance Sector</w:t>
            </w:r>
          </w:p>
        </w:tc>
        <w:tc>
          <w:tcPr>
            <w:tcW w:w="1080" w:type="dxa"/>
            <w:vAlign w:val="bottom"/>
            <w:tcBorders>
              <w:top w:val="single" w:sz="8" w:color="auto"/>
            </w:tcBorders>
            <w:gridSpan w:val="3"/>
            <w:vMerge w:val="restart"/>
            <w:shd w:val="clear" w:color="auto" w:fill="002060"/>
          </w:tcPr>
          <w:p>
            <w:pPr>
              <w:jc w:val="center"/>
              <w:ind w:right="20"/>
              <w:spacing w:after="0"/>
              <w:rPr>
                <w:sz w:val="20"/>
                <w:szCs w:val="20"/>
                <w:color w:val="auto"/>
              </w:rPr>
            </w:pPr>
            <w:r>
              <w:rPr>
                <w:rFonts w:ascii="Arial" w:cs="Arial" w:eastAsia="Arial" w:hAnsi="Arial"/>
                <w:sz w:val="13"/>
                <w:szCs w:val="13"/>
                <w:b w:val="1"/>
                <w:bCs w:val="1"/>
                <w:color w:val="F8F8FA"/>
                <w:w w:val="88"/>
              </w:rPr>
              <w:t>Telecom Sector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200" w:type="dxa"/>
            <w:vAlign w:val="bottom"/>
            <w:shd w:val="clear" w:color="auto" w:fill="002060"/>
          </w:tcPr>
          <w:p>
            <w:pPr>
              <w:spacing w:after="0"/>
              <w:rPr>
                <w:sz w:val="6"/>
                <w:szCs w:val="6"/>
                <w:color w:val="auto"/>
              </w:rPr>
            </w:pPr>
          </w:p>
        </w:tc>
        <w:tc>
          <w:tcPr>
            <w:tcW w:w="920" w:type="dxa"/>
            <w:vAlign w:val="bottom"/>
            <w:gridSpan w:val="3"/>
            <w:vMerge w:val="restart"/>
            <w:shd w:val="clear" w:color="auto" w:fill="002060"/>
          </w:tcPr>
          <w:p>
            <w:pPr>
              <w:jc w:val="center"/>
              <w:spacing w:after="0" w:line="148" w:lineRule="exact"/>
              <w:rPr>
                <w:sz w:val="20"/>
                <w:szCs w:val="20"/>
                <w:color w:val="auto"/>
              </w:rPr>
            </w:pPr>
            <w:r>
              <w:rPr>
                <w:rFonts w:ascii="Arial" w:cs="Arial" w:eastAsia="Arial" w:hAnsi="Arial"/>
                <w:sz w:val="13"/>
                <w:szCs w:val="13"/>
                <w:b w:val="1"/>
                <w:bCs w:val="1"/>
                <w:color w:val="F8F8FA"/>
                <w:w w:val="93"/>
              </w:rPr>
              <w:t>Mgmt.</w:t>
            </w:r>
          </w:p>
        </w:tc>
        <w:tc>
          <w:tcPr>
            <w:tcW w:w="1000" w:type="dxa"/>
            <w:vAlign w:val="bottom"/>
            <w:gridSpan w:val="3"/>
            <w:vMerge w:val="continue"/>
            <w:shd w:val="clear" w:color="auto" w:fill="002060"/>
          </w:tcPr>
          <w:p>
            <w:pPr>
              <w:spacing w:after="0"/>
              <w:rPr>
                <w:sz w:val="6"/>
                <w:szCs w:val="6"/>
                <w:color w:val="auto"/>
              </w:rPr>
            </w:pPr>
          </w:p>
        </w:tc>
        <w:tc>
          <w:tcPr>
            <w:tcW w:w="1300" w:type="dxa"/>
            <w:vAlign w:val="bottom"/>
            <w:gridSpan w:val="3"/>
            <w:vMerge w:val="continue"/>
            <w:shd w:val="clear" w:color="auto" w:fill="002060"/>
          </w:tcPr>
          <w:p>
            <w:pPr>
              <w:spacing w:after="0"/>
              <w:rPr>
                <w:sz w:val="6"/>
                <w:szCs w:val="6"/>
                <w:color w:val="auto"/>
              </w:rPr>
            </w:pPr>
          </w:p>
        </w:tc>
        <w:tc>
          <w:tcPr>
            <w:tcW w:w="1100" w:type="dxa"/>
            <w:vAlign w:val="bottom"/>
            <w:gridSpan w:val="3"/>
            <w:vMerge w:val="continue"/>
            <w:shd w:val="clear" w:color="auto" w:fill="002060"/>
          </w:tcPr>
          <w:p>
            <w:pPr>
              <w:spacing w:after="0"/>
              <w:rPr>
                <w:sz w:val="6"/>
                <w:szCs w:val="6"/>
                <w:color w:val="auto"/>
              </w:rPr>
            </w:pPr>
          </w:p>
        </w:tc>
        <w:tc>
          <w:tcPr>
            <w:tcW w:w="1140" w:type="dxa"/>
            <w:vAlign w:val="bottom"/>
            <w:gridSpan w:val="3"/>
            <w:vMerge w:val="continue"/>
            <w:shd w:val="clear" w:color="auto" w:fill="002060"/>
          </w:tcPr>
          <w:p>
            <w:pPr>
              <w:spacing w:after="0"/>
              <w:rPr>
                <w:sz w:val="6"/>
                <w:szCs w:val="6"/>
                <w:color w:val="auto"/>
              </w:rPr>
            </w:pPr>
          </w:p>
        </w:tc>
        <w:tc>
          <w:tcPr>
            <w:tcW w:w="1020" w:type="dxa"/>
            <w:vAlign w:val="bottom"/>
            <w:gridSpan w:val="3"/>
            <w:vMerge w:val="continue"/>
            <w:shd w:val="clear" w:color="auto" w:fill="002060"/>
          </w:tcPr>
          <w:p>
            <w:pPr>
              <w:spacing w:after="0"/>
              <w:rPr>
                <w:sz w:val="6"/>
                <w:szCs w:val="6"/>
                <w:color w:val="auto"/>
              </w:rPr>
            </w:pPr>
          </w:p>
        </w:tc>
        <w:tc>
          <w:tcPr>
            <w:tcW w:w="1340" w:type="dxa"/>
            <w:vAlign w:val="bottom"/>
            <w:gridSpan w:val="3"/>
            <w:vMerge w:val="continue"/>
            <w:shd w:val="clear" w:color="auto" w:fill="002060"/>
          </w:tcPr>
          <w:p>
            <w:pPr>
              <w:spacing w:after="0"/>
              <w:rPr>
                <w:sz w:val="6"/>
                <w:szCs w:val="6"/>
                <w:color w:val="auto"/>
              </w:rPr>
            </w:pPr>
          </w:p>
        </w:tc>
        <w:tc>
          <w:tcPr>
            <w:tcW w:w="1120" w:type="dxa"/>
            <w:vAlign w:val="bottom"/>
            <w:gridSpan w:val="5"/>
            <w:vMerge w:val="continue"/>
            <w:shd w:val="clear" w:color="auto" w:fill="002060"/>
          </w:tcPr>
          <w:p>
            <w:pPr>
              <w:spacing w:after="0"/>
              <w:rPr>
                <w:sz w:val="6"/>
                <w:szCs w:val="6"/>
                <w:color w:val="auto"/>
              </w:rPr>
            </w:pPr>
          </w:p>
        </w:tc>
        <w:tc>
          <w:tcPr>
            <w:tcW w:w="1080" w:type="dxa"/>
            <w:vAlign w:val="bottom"/>
            <w:gridSpan w:val="3"/>
            <w:vMerge w:val="continue"/>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200" w:type="dxa"/>
            <w:vAlign w:val="bottom"/>
            <w:shd w:val="clear" w:color="auto" w:fill="002060"/>
          </w:tcPr>
          <w:p>
            <w:pPr>
              <w:spacing w:after="0"/>
              <w:rPr>
                <w:sz w:val="6"/>
                <w:szCs w:val="6"/>
                <w:color w:val="auto"/>
              </w:rPr>
            </w:pPr>
          </w:p>
        </w:tc>
        <w:tc>
          <w:tcPr>
            <w:tcW w:w="920" w:type="dxa"/>
            <w:vAlign w:val="bottom"/>
            <w:gridSpan w:val="3"/>
            <w:vMerge w:val="continue"/>
            <w:shd w:val="clear" w:color="auto" w:fill="002060"/>
          </w:tcPr>
          <w:p>
            <w:pPr>
              <w:spacing w:after="0"/>
              <w:rPr>
                <w:sz w:val="6"/>
                <w:szCs w:val="6"/>
                <w:color w:val="auto"/>
              </w:rPr>
            </w:pPr>
          </w:p>
        </w:tc>
        <w:tc>
          <w:tcPr>
            <w:tcW w:w="1000" w:type="dxa"/>
            <w:vAlign w:val="bottom"/>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92"/>
              </w:rPr>
              <w:t>Expertise</w:t>
            </w:r>
          </w:p>
        </w:tc>
        <w:tc>
          <w:tcPr>
            <w:tcW w:w="1300" w:type="dxa"/>
            <w:vAlign w:val="bottom"/>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92"/>
              </w:rPr>
              <w:t>Expertise</w:t>
            </w:r>
          </w:p>
        </w:tc>
        <w:tc>
          <w:tcPr>
            <w:tcW w:w="1100" w:type="dxa"/>
            <w:vAlign w:val="bottom"/>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92"/>
              </w:rPr>
              <w:t>Expertise</w:t>
            </w:r>
          </w:p>
        </w:tc>
        <w:tc>
          <w:tcPr>
            <w:tcW w:w="1140" w:type="dxa"/>
            <w:vAlign w:val="bottom"/>
            <w:gridSpan w:val="3"/>
            <w:vMerge w:val="restart"/>
            <w:shd w:val="clear" w:color="auto" w:fill="002060"/>
          </w:tcPr>
          <w:p>
            <w:pPr>
              <w:jc w:val="center"/>
              <w:ind w:right="40"/>
              <w:spacing w:after="0"/>
              <w:rPr>
                <w:sz w:val="20"/>
                <w:szCs w:val="20"/>
                <w:color w:val="auto"/>
              </w:rPr>
            </w:pPr>
            <w:r>
              <w:rPr>
                <w:rFonts w:ascii="Arial" w:cs="Arial" w:eastAsia="Arial" w:hAnsi="Arial"/>
                <w:sz w:val="13"/>
                <w:szCs w:val="13"/>
                <w:b w:val="1"/>
                <w:bCs w:val="1"/>
                <w:color w:val="F8F8FA"/>
                <w:w w:val="89"/>
              </w:rPr>
              <w:t>Experience</w:t>
            </w:r>
          </w:p>
        </w:tc>
        <w:tc>
          <w:tcPr>
            <w:tcW w:w="1020" w:type="dxa"/>
            <w:vAlign w:val="bottom"/>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89"/>
              </w:rPr>
              <w:t>Experience</w:t>
            </w:r>
          </w:p>
        </w:tc>
        <w:tc>
          <w:tcPr>
            <w:tcW w:w="1340" w:type="dxa"/>
            <w:vAlign w:val="bottom"/>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89"/>
              </w:rPr>
              <w:t>Experience</w:t>
            </w:r>
          </w:p>
        </w:tc>
        <w:tc>
          <w:tcPr>
            <w:tcW w:w="1120" w:type="dxa"/>
            <w:vAlign w:val="bottom"/>
            <w:gridSpan w:val="5"/>
            <w:vMerge w:val="restart"/>
            <w:shd w:val="clear" w:color="auto" w:fill="002060"/>
          </w:tcPr>
          <w:p>
            <w:pPr>
              <w:jc w:val="center"/>
              <w:ind w:right="20"/>
              <w:spacing w:after="0"/>
              <w:rPr>
                <w:sz w:val="20"/>
                <w:szCs w:val="20"/>
                <w:color w:val="auto"/>
              </w:rPr>
            </w:pPr>
            <w:r>
              <w:rPr>
                <w:rFonts w:ascii="Arial" w:cs="Arial" w:eastAsia="Arial" w:hAnsi="Arial"/>
                <w:sz w:val="13"/>
                <w:szCs w:val="13"/>
                <w:b w:val="1"/>
                <w:bCs w:val="1"/>
                <w:color w:val="F8F8FA"/>
                <w:w w:val="89"/>
              </w:rPr>
              <w:t>Experience</w:t>
            </w:r>
          </w:p>
        </w:tc>
        <w:tc>
          <w:tcPr>
            <w:tcW w:w="1080" w:type="dxa"/>
            <w:vAlign w:val="bottom"/>
            <w:gridSpan w:val="3"/>
            <w:vMerge w:val="restart"/>
            <w:shd w:val="clear" w:color="auto" w:fill="002060"/>
          </w:tcPr>
          <w:p>
            <w:pPr>
              <w:jc w:val="center"/>
              <w:ind w:right="20"/>
              <w:spacing w:after="0"/>
              <w:rPr>
                <w:sz w:val="20"/>
                <w:szCs w:val="20"/>
                <w:color w:val="auto"/>
              </w:rPr>
            </w:pPr>
            <w:r>
              <w:rPr>
                <w:rFonts w:ascii="Arial" w:cs="Arial" w:eastAsia="Arial" w:hAnsi="Arial"/>
                <w:sz w:val="13"/>
                <w:szCs w:val="13"/>
                <w:b w:val="1"/>
                <w:bCs w:val="1"/>
                <w:color w:val="F8F8FA"/>
                <w:w w:val="89"/>
              </w:rPr>
              <w:t>Experience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shd w:val="clear" w:color="auto" w:fill="002060"/>
          </w:tcPr>
          <w:p>
            <w:pPr>
              <w:spacing w:after="0"/>
              <w:rPr>
                <w:sz w:val="8"/>
                <w:szCs w:val="8"/>
                <w:color w:val="auto"/>
              </w:rPr>
            </w:pPr>
          </w:p>
        </w:tc>
        <w:tc>
          <w:tcPr>
            <w:tcW w:w="920" w:type="dxa"/>
            <w:vAlign w:val="bottom"/>
            <w:gridSpan w:val="3"/>
            <w:vMerge w:val="restart"/>
            <w:shd w:val="clear" w:color="auto" w:fill="002060"/>
          </w:tcPr>
          <w:p>
            <w:pPr>
              <w:jc w:val="center"/>
              <w:spacing w:after="0"/>
              <w:rPr>
                <w:sz w:val="20"/>
                <w:szCs w:val="20"/>
                <w:color w:val="auto"/>
              </w:rPr>
            </w:pPr>
            <w:r>
              <w:rPr>
                <w:rFonts w:ascii="Arial" w:cs="Arial" w:eastAsia="Arial" w:hAnsi="Arial"/>
                <w:sz w:val="13"/>
                <w:szCs w:val="13"/>
                <w:b w:val="1"/>
                <w:bCs w:val="1"/>
                <w:color w:val="F8F8FA"/>
                <w:w w:val="88"/>
              </w:rPr>
              <w:t>Expertise</w:t>
            </w:r>
          </w:p>
        </w:tc>
        <w:tc>
          <w:tcPr>
            <w:tcW w:w="1000" w:type="dxa"/>
            <w:vAlign w:val="bottom"/>
            <w:gridSpan w:val="3"/>
            <w:vMerge w:val="continue"/>
            <w:shd w:val="clear" w:color="auto" w:fill="002060"/>
          </w:tcPr>
          <w:p>
            <w:pPr>
              <w:spacing w:after="0"/>
              <w:rPr>
                <w:sz w:val="8"/>
                <w:szCs w:val="8"/>
                <w:color w:val="auto"/>
              </w:rPr>
            </w:pPr>
          </w:p>
        </w:tc>
        <w:tc>
          <w:tcPr>
            <w:tcW w:w="1300" w:type="dxa"/>
            <w:vAlign w:val="bottom"/>
            <w:gridSpan w:val="3"/>
            <w:vMerge w:val="continue"/>
            <w:shd w:val="clear" w:color="auto" w:fill="002060"/>
          </w:tcPr>
          <w:p>
            <w:pPr>
              <w:spacing w:after="0"/>
              <w:rPr>
                <w:sz w:val="8"/>
                <w:szCs w:val="8"/>
                <w:color w:val="auto"/>
              </w:rPr>
            </w:pPr>
          </w:p>
        </w:tc>
        <w:tc>
          <w:tcPr>
            <w:tcW w:w="1100" w:type="dxa"/>
            <w:vAlign w:val="bottom"/>
            <w:gridSpan w:val="3"/>
            <w:vMerge w:val="continue"/>
            <w:shd w:val="clear" w:color="auto" w:fill="002060"/>
          </w:tcPr>
          <w:p>
            <w:pPr>
              <w:spacing w:after="0"/>
              <w:rPr>
                <w:sz w:val="8"/>
                <w:szCs w:val="8"/>
                <w:color w:val="auto"/>
              </w:rPr>
            </w:pPr>
          </w:p>
        </w:tc>
        <w:tc>
          <w:tcPr>
            <w:tcW w:w="1140" w:type="dxa"/>
            <w:vAlign w:val="bottom"/>
            <w:gridSpan w:val="3"/>
            <w:vMerge w:val="continue"/>
            <w:shd w:val="clear" w:color="auto" w:fill="002060"/>
          </w:tcPr>
          <w:p>
            <w:pPr>
              <w:spacing w:after="0"/>
              <w:rPr>
                <w:sz w:val="8"/>
                <w:szCs w:val="8"/>
                <w:color w:val="auto"/>
              </w:rPr>
            </w:pPr>
          </w:p>
        </w:tc>
        <w:tc>
          <w:tcPr>
            <w:tcW w:w="1020" w:type="dxa"/>
            <w:vAlign w:val="bottom"/>
            <w:gridSpan w:val="3"/>
            <w:vMerge w:val="continue"/>
            <w:shd w:val="clear" w:color="auto" w:fill="002060"/>
          </w:tcPr>
          <w:p>
            <w:pPr>
              <w:spacing w:after="0"/>
              <w:rPr>
                <w:sz w:val="8"/>
                <w:szCs w:val="8"/>
                <w:color w:val="auto"/>
              </w:rPr>
            </w:pPr>
          </w:p>
        </w:tc>
        <w:tc>
          <w:tcPr>
            <w:tcW w:w="1340" w:type="dxa"/>
            <w:vAlign w:val="bottom"/>
            <w:gridSpan w:val="3"/>
            <w:vMerge w:val="continue"/>
            <w:shd w:val="clear" w:color="auto" w:fill="002060"/>
          </w:tcPr>
          <w:p>
            <w:pPr>
              <w:spacing w:after="0"/>
              <w:rPr>
                <w:sz w:val="8"/>
                <w:szCs w:val="8"/>
                <w:color w:val="auto"/>
              </w:rPr>
            </w:pPr>
          </w:p>
        </w:tc>
        <w:tc>
          <w:tcPr>
            <w:tcW w:w="1120" w:type="dxa"/>
            <w:vAlign w:val="bottom"/>
            <w:gridSpan w:val="5"/>
            <w:vMerge w:val="continue"/>
            <w:shd w:val="clear" w:color="auto" w:fill="002060"/>
          </w:tcPr>
          <w:p>
            <w:pPr>
              <w:spacing w:after="0"/>
              <w:rPr>
                <w:sz w:val="8"/>
                <w:szCs w:val="8"/>
                <w:color w:val="auto"/>
              </w:rPr>
            </w:pPr>
          </w:p>
        </w:tc>
        <w:tc>
          <w:tcPr>
            <w:tcW w:w="1080" w:type="dxa"/>
            <w:vAlign w:val="bottom"/>
            <w:gridSpan w:val="3"/>
            <w:vMerge w:val="continue"/>
            <w:shd w:val="clear" w:color="auto" w:fill="002060"/>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shd w:val="clear" w:color="auto" w:fill="002060"/>
          </w:tcPr>
          <w:p>
            <w:pPr>
              <w:spacing w:after="0"/>
              <w:rPr>
                <w:sz w:val="6"/>
                <w:szCs w:val="6"/>
                <w:color w:val="auto"/>
              </w:rPr>
            </w:pPr>
          </w:p>
        </w:tc>
        <w:tc>
          <w:tcPr>
            <w:tcW w:w="920" w:type="dxa"/>
            <w:vAlign w:val="bottom"/>
            <w:tcBorders>
              <w:bottom w:val="single" w:sz="8" w:color="auto"/>
            </w:tcBorders>
            <w:gridSpan w:val="3"/>
            <w:vMerge w:val="continue"/>
            <w:shd w:val="clear" w:color="auto" w:fill="002060"/>
          </w:tcPr>
          <w:p>
            <w:pPr>
              <w:spacing w:after="0"/>
              <w:rPr>
                <w:sz w:val="6"/>
                <w:szCs w:val="6"/>
                <w:color w:val="auto"/>
              </w:rPr>
            </w:pPr>
          </w:p>
        </w:tc>
        <w:tc>
          <w:tcPr>
            <w:tcW w:w="340" w:type="dxa"/>
            <w:vAlign w:val="bottom"/>
            <w:tcBorders>
              <w:bottom w:val="single" w:sz="8" w:color="auto"/>
            </w:tcBorders>
            <w:shd w:val="clear" w:color="auto" w:fill="002060"/>
          </w:tcPr>
          <w:p>
            <w:pPr>
              <w:spacing w:after="0"/>
              <w:rPr>
                <w:sz w:val="6"/>
                <w:szCs w:val="6"/>
                <w:color w:val="auto"/>
              </w:rPr>
            </w:pPr>
          </w:p>
        </w:tc>
        <w:tc>
          <w:tcPr>
            <w:tcW w:w="320" w:type="dxa"/>
            <w:vAlign w:val="bottom"/>
            <w:tcBorders>
              <w:bottom w:val="single" w:sz="8" w:color="auto"/>
            </w:tcBorders>
            <w:shd w:val="clear" w:color="auto" w:fill="002060"/>
          </w:tcPr>
          <w:p>
            <w:pPr>
              <w:spacing w:after="0"/>
              <w:rPr>
                <w:sz w:val="6"/>
                <w:szCs w:val="6"/>
                <w:color w:val="auto"/>
              </w:rPr>
            </w:pPr>
          </w:p>
        </w:tc>
        <w:tc>
          <w:tcPr>
            <w:tcW w:w="340" w:type="dxa"/>
            <w:vAlign w:val="bottom"/>
            <w:tcBorders>
              <w:bottom w:val="single" w:sz="8" w:color="auto"/>
            </w:tcBorders>
            <w:shd w:val="clear" w:color="auto" w:fill="002060"/>
          </w:tcPr>
          <w:p>
            <w:pPr>
              <w:spacing w:after="0"/>
              <w:rPr>
                <w:sz w:val="6"/>
                <w:szCs w:val="6"/>
                <w:color w:val="auto"/>
              </w:rPr>
            </w:pPr>
          </w:p>
        </w:tc>
        <w:tc>
          <w:tcPr>
            <w:tcW w:w="500" w:type="dxa"/>
            <w:vAlign w:val="bottom"/>
            <w:tcBorders>
              <w:bottom w:val="single" w:sz="8" w:color="auto"/>
            </w:tcBorders>
            <w:shd w:val="clear" w:color="auto" w:fill="002060"/>
          </w:tcPr>
          <w:p>
            <w:pPr>
              <w:spacing w:after="0"/>
              <w:rPr>
                <w:sz w:val="6"/>
                <w:szCs w:val="6"/>
                <w:color w:val="auto"/>
              </w:rPr>
            </w:pPr>
          </w:p>
        </w:tc>
        <w:tc>
          <w:tcPr>
            <w:tcW w:w="320" w:type="dxa"/>
            <w:vAlign w:val="bottom"/>
            <w:tcBorders>
              <w:bottom w:val="single" w:sz="8" w:color="auto"/>
            </w:tcBorders>
            <w:shd w:val="clear" w:color="auto" w:fill="002060"/>
          </w:tcPr>
          <w:p>
            <w:pPr>
              <w:spacing w:after="0"/>
              <w:rPr>
                <w:sz w:val="6"/>
                <w:szCs w:val="6"/>
                <w:color w:val="auto"/>
              </w:rPr>
            </w:pPr>
          </w:p>
        </w:tc>
        <w:tc>
          <w:tcPr>
            <w:tcW w:w="480" w:type="dxa"/>
            <w:vAlign w:val="bottom"/>
            <w:tcBorders>
              <w:bottom w:val="single" w:sz="8" w:color="auto"/>
            </w:tcBorders>
            <w:shd w:val="clear" w:color="auto" w:fill="002060"/>
          </w:tcPr>
          <w:p>
            <w:pPr>
              <w:spacing w:after="0"/>
              <w:rPr>
                <w:sz w:val="6"/>
                <w:szCs w:val="6"/>
                <w:color w:val="auto"/>
              </w:rPr>
            </w:pPr>
          </w:p>
        </w:tc>
        <w:tc>
          <w:tcPr>
            <w:tcW w:w="380" w:type="dxa"/>
            <w:vAlign w:val="bottom"/>
            <w:tcBorders>
              <w:bottom w:val="single" w:sz="8" w:color="auto"/>
            </w:tcBorders>
            <w:shd w:val="clear" w:color="auto" w:fill="002060"/>
          </w:tcPr>
          <w:p>
            <w:pPr>
              <w:spacing w:after="0"/>
              <w:rPr>
                <w:sz w:val="6"/>
                <w:szCs w:val="6"/>
                <w:color w:val="auto"/>
              </w:rPr>
            </w:pPr>
          </w:p>
        </w:tc>
        <w:tc>
          <w:tcPr>
            <w:tcW w:w="320" w:type="dxa"/>
            <w:vAlign w:val="bottom"/>
            <w:tcBorders>
              <w:bottom w:val="single" w:sz="8" w:color="auto"/>
            </w:tcBorders>
            <w:shd w:val="clear" w:color="auto" w:fill="002060"/>
          </w:tcPr>
          <w:p>
            <w:pPr>
              <w:spacing w:after="0"/>
              <w:rPr>
                <w:sz w:val="6"/>
                <w:szCs w:val="6"/>
                <w:color w:val="auto"/>
              </w:rPr>
            </w:pPr>
          </w:p>
        </w:tc>
        <w:tc>
          <w:tcPr>
            <w:tcW w:w="400" w:type="dxa"/>
            <w:vAlign w:val="bottom"/>
            <w:tcBorders>
              <w:bottom w:val="single" w:sz="8" w:color="auto"/>
            </w:tcBorders>
            <w:shd w:val="clear" w:color="auto" w:fill="002060"/>
          </w:tcPr>
          <w:p>
            <w:pPr>
              <w:spacing w:after="0"/>
              <w:rPr>
                <w:sz w:val="6"/>
                <w:szCs w:val="6"/>
                <w:color w:val="auto"/>
              </w:rPr>
            </w:pPr>
          </w:p>
        </w:tc>
        <w:tc>
          <w:tcPr>
            <w:tcW w:w="400" w:type="dxa"/>
            <w:vAlign w:val="bottom"/>
            <w:tcBorders>
              <w:bottom w:val="single" w:sz="8" w:color="auto"/>
            </w:tcBorders>
            <w:shd w:val="clear" w:color="auto" w:fill="002060"/>
          </w:tcPr>
          <w:p>
            <w:pPr>
              <w:spacing w:after="0"/>
              <w:rPr>
                <w:sz w:val="6"/>
                <w:szCs w:val="6"/>
                <w:color w:val="auto"/>
              </w:rPr>
            </w:pPr>
          </w:p>
        </w:tc>
        <w:tc>
          <w:tcPr>
            <w:tcW w:w="300" w:type="dxa"/>
            <w:vAlign w:val="bottom"/>
            <w:tcBorders>
              <w:bottom w:val="single" w:sz="8" w:color="auto"/>
            </w:tcBorders>
            <w:shd w:val="clear" w:color="auto" w:fill="002060"/>
          </w:tcPr>
          <w:p>
            <w:pPr>
              <w:spacing w:after="0"/>
              <w:rPr>
                <w:sz w:val="6"/>
                <w:szCs w:val="6"/>
                <w:color w:val="auto"/>
              </w:rPr>
            </w:pPr>
          </w:p>
        </w:tc>
        <w:tc>
          <w:tcPr>
            <w:tcW w:w="440" w:type="dxa"/>
            <w:vAlign w:val="bottom"/>
            <w:tcBorders>
              <w:bottom w:val="single" w:sz="8" w:color="auto"/>
            </w:tcBorders>
            <w:shd w:val="clear" w:color="auto" w:fill="002060"/>
          </w:tcPr>
          <w:p>
            <w:pPr>
              <w:spacing w:after="0"/>
              <w:rPr>
                <w:sz w:val="6"/>
                <w:szCs w:val="6"/>
                <w:color w:val="auto"/>
              </w:rPr>
            </w:pPr>
          </w:p>
        </w:tc>
        <w:tc>
          <w:tcPr>
            <w:tcW w:w="360" w:type="dxa"/>
            <w:vAlign w:val="bottom"/>
            <w:tcBorders>
              <w:bottom w:val="single" w:sz="8" w:color="auto"/>
            </w:tcBorders>
            <w:shd w:val="clear" w:color="auto" w:fill="002060"/>
          </w:tcPr>
          <w:p>
            <w:pPr>
              <w:spacing w:after="0"/>
              <w:rPr>
                <w:sz w:val="6"/>
                <w:szCs w:val="6"/>
                <w:color w:val="auto"/>
              </w:rPr>
            </w:pPr>
          </w:p>
        </w:tc>
        <w:tc>
          <w:tcPr>
            <w:tcW w:w="320" w:type="dxa"/>
            <w:vAlign w:val="bottom"/>
            <w:tcBorders>
              <w:bottom w:val="single" w:sz="8" w:color="auto"/>
            </w:tcBorders>
            <w:shd w:val="clear" w:color="auto" w:fill="002060"/>
          </w:tcPr>
          <w:p>
            <w:pPr>
              <w:spacing w:after="0"/>
              <w:rPr>
                <w:sz w:val="6"/>
                <w:szCs w:val="6"/>
                <w:color w:val="auto"/>
              </w:rPr>
            </w:pPr>
          </w:p>
        </w:tc>
        <w:tc>
          <w:tcPr>
            <w:tcW w:w="340" w:type="dxa"/>
            <w:vAlign w:val="bottom"/>
            <w:tcBorders>
              <w:bottom w:val="single" w:sz="8" w:color="auto"/>
            </w:tcBorders>
            <w:shd w:val="clear" w:color="auto" w:fill="002060"/>
          </w:tcPr>
          <w:p>
            <w:pPr>
              <w:spacing w:after="0"/>
              <w:rPr>
                <w:sz w:val="6"/>
                <w:szCs w:val="6"/>
                <w:color w:val="auto"/>
              </w:rPr>
            </w:pPr>
          </w:p>
        </w:tc>
        <w:tc>
          <w:tcPr>
            <w:tcW w:w="520" w:type="dxa"/>
            <w:vAlign w:val="bottom"/>
            <w:tcBorders>
              <w:bottom w:val="single" w:sz="8" w:color="auto"/>
            </w:tcBorders>
            <w:shd w:val="clear" w:color="auto" w:fill="002060"/>
          </w:tcPr>
          <w:p>
            <w:pPr>
              <w:spacing w:after="0"/>
              <w:rPr>
                <w:sz w:val="6"/>
                <w:szCs w:val="6"/>
                <w:color w:val="auto"/>
              </w:rPr>
            </w:pPr>
          </w:p>
        </w:tc>
        <w:tc>
          <w:tcPr>
            <w:tcW w:w="320" w:type="dxa"/>
            <w:vAlign w:val="bottom"/>
            <w:tcBorders>
              <w:bottom w:val="single" w:sz="8" w:color="auto"/>
            </w:tcBorders>
            <w:shd w:val="clear" w:color="auto" w:fill="002060"/>
          </w:tcPr>
          <w:p>
            <w:pPr>
              <w:spacing w:after="0"/>
              <w:rPr>
                <w:sz w:val="6"/>
                <w:szCs w:val="6"/>
                <w:color w:val="auto"/>
              </w:rPr>
            </w:pPr>
          </w:p>
        </w:tc>
        <w:tc>
          <w:tcPr>
            <w:tcW w:w="500" w:type="dxa"/>
            <w:vAlign w:val="bottom"/>
            <w:tcBorders>
              <w:bottom w:val="single" w:sz="8" w:color="auto"/>
            </w:tcBorders>
            <w:shd w:val="clear" w:color="auto" w:fill="002060"/>
          </w:tcPr>
          <w:p>
            <w:pPr>
              <w:spacing w:after="0"/>
              <w:rPr>
                <w:sz w:val="6"/>
                <w:szCs w:val="6"/>
                <w:color w:val="auto"/>
              </w:rPr>
            </w:pPr>
          </w:p>
        </w:tc>
        <w:tc>
          <w:tcPr>
            <w:tcW w:w="340" w:type="dxa"/>
            <w:vAlign w:val="bottom"/>
            <w:tcBorders>
              <w:bottom w:val="single" w:sz="8" w:color="auto"/>
            </w:tcBorders>
            <w:shd w:val="clear" w:color="auto" w:fill="002060"/>
          </w:tcPr>
          <w:p>
            <w:pPr>
              <w:spacing w:after="0"/>
              <w:rPr>
                <w:sz w:val="6"/>
                <w:szCs w:val="6"/>
                <w:color w:val="auto"/>
              </w:rPr>
            </w:pPr>
          </w:p>
        </w:tc>
        <w:tc>
          <w:tcPr>
            <w:tcW w:w="40" w:type="dxa"/>
            <w:vAlign w:val="bottom"/>
            <w:tcBorders>
              <w:bottom w:val="single" w:sz="8" w:color="auto"/>
            </w:tcBorders>
            <w:shd w:val="clear" w:color="auto" w:fill="002060"/>
          </w:tcPr>
          <w:p>
            <w:pPr>
              <w:spacing w:after="0"/>
              <w:rPr>
                <w:sz w:val="6"/>
                <w:szCs w:val="6"/>
                <w:color w:val="auto"/>
              </w:rPr>
            </w:pPr>
          </w:p>
        </w:tc>
        <w:tc>
          <w:tcPr>
            <w:tcW w:w="320" w:type="dxa"/>
            <w:vAlign w:val="bottom"/>
            <w:tcBorders>
              <w:bottom w:val="single" w:sz="8" w:color="auto"/>
            </w:tcBorders>
            <w:shd w:val="clear" w:color="auto" w:fill="002060"/>
          </w:tcPr>
          <w:p>
            <w:pPr>
              <w:spacing w:after="0"/>
              <w:rPr>
                <w:sz w:val="6"/>
                <w:szCs w:val="6"/>
                <w:color w:val="auto"/>
              </w:rPr>
            </w:pPr>
          </w:p>
        </w:tc>
        <w:tc>
          <w:tcPr>
            <w:tcW w:w="40" w:type="dxa"/>
            <w:vAlign w:val="bottom"/>
            <w:tcBorders>
              <w:bottom w:val="single" w:sz="8" w:color="auto"/>
            </w:tcBorders>
            <w:shd w:val="clear" w:color="auto" w:fill="002060"/>
          </w:tcPr>
          <w:p>
            <w:pPr>
              <w:spacing w:after="0"/>
              <w:rPr>
                <w:sz w:val="6"/>
                <w:szCs w:val="6"/>
                <w:color w:val="auto"/>
              </w:rPr>
            </w:pPr>
          </w:p>
        </w:tc>
        <w:tc>
          <w:tcPr>
            <w:tcW w:w="380" w:type="dxa"/>
            <w:vAlign w:val="bottom"/>
            <w:tcBorders>
              <w:bottom w:val="single" w:sz="8" w:color="auto"/>
            </w:tcBorders>
            <w:shd w:val="clear" w:color="auto" w:fill="002060"/>
          </w:tcPr>
          <w:p>
            <w:pPr>
              <w:spacing w:after="0"/>
              <w:rPr>
                <w:sz w:val="6"/>
                <w:szCs w:val="6"/>
                <w:color w:val="auto"/>
              </w:rPr>
            </w:pPr>
          </w:p>
        </w:tc>
        <w:tc>
          <w:tcPr>
            <w:tcW w:w="360" w:type="dxa"/>
            <w:vAlign w:val="bottom"/>
            <w:tcBorders>
              <w:bottom w:val="single" w:sz="8" w:color="auto"/>
            </w:tcBorders>
            <w:shd w:val="clear" w:color="auto" w:fill="002060"/>
          </w:tcPr>
          <w:p>
            <w:pPr>
              <w:spacing w:after="0"/>
              <w:rPr>
                <w:sz w:val="6"/>
                <w:szCs w:val="6"/>
                <w:color w:val="auto"/>
              </w:rPr>
            </w:pPr>
          </w:p>
        </w:tc>
        <w:tc>
          <w:tcPr>
            <w:tcW w:w="320" w:type="dxa"/>
            <w:vAlign w:val="bottom"/>
            <w:tcBorders>
              <w:bottom w:val="single" w:sz="8" w:color="auto"/>
            </w:tcBorders>
            <w:shd w:val="clear" w:color="auto" w:fill="002060"/>
          </w:tcPr>
          <w:p>
            <w:pPr>
              <w:spacing w:after="0"/>
              <w:rPr>
                <w:sz w:val="6"/>
                <w:szCs w:val="6"/>
                <w:color w:val="auto"/>
              </w:rPr>
            </w:pPr>
          </w:p>
        </w:tc>
        <w:tc>
          <w:tcPr>
            <w:tcW w:w="400" w:type="dxa"/>
            <w:vAlign w:val="bottom"/>
            <w:tcBorders>
              <w:bottom w:val="single" w:sz="8" w:color="auto"/>
            </w:tcBorders>
            <w:shd w:val="clear" w:color="auto" w:fill="002060"/>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shd w:val="clear" w:color="auto" w:fill="C5E0B3"/>
          </w:tcPr>
          <w:p>
            <w:pPr>
              <w:jc w:val="center"/>
              <w:spacing w:after="0"/>
              <w:rPr>
                <w:sz w:val="20"/>
                <w:szCs w:val="20"/>
                <w:color w:val="auto"/>
              </w:rPr>
            </w:pPr>
            <w:r>
              <w:rPr>
                <w:rFonts w:ascii="Arial" w:cs="Arial" w:eastAsia="Arial" w:hAnsi="Arial"/>
                <w:sz w:val="13"/>
                <w:szCs w:val="13"/>
                <w:b w:val="1"/>
                <w:bCs w:val="1"/>
                <w:color w:val="auto"/>
                <w:w w:val="91"/>
              </w:rPr>
              <w:t>George Brokaw</w:t>
            </w:r>
          </w:p>
        </w:tc>
        <w:tc>
          <w:tcPr>
            <w:tcW w:w="300" w:type="dxa"/>
            <w:vAlign w:val="bottom"/>
            <w:tcBorders>
              <w:bottom w:val="single" w:sz="8" w:color="auto"/>
            </w:tcBorders>
            <w:shd w:val="clear" w:color="auto" w:fill="C5E0B3"/>
          </w:tcPr>
          <w:p>
            <w:pPr>
              <w:spacing w:after="0"/>
              <w:rPr>
                <w:sz w:val="18"/>
                <w:szCs w:val="18"/>
                <w:color w:val="auto"/>
              </w:rPr>
            </w:pPr>
          </w:p>
        </w:tc>
        <w:tc>
          <w:tcPr>
            <w:tcW w:w="620" w:type="dxa"/>
            <w:vAlign w:val="bottom"/>
            <w:tcBorders>
              <w:bottom w:val="single" w:sz="8" w:color="auto"/>
            </w:tcBorders>
            <w:gridSpan w:val="2"/>
            <w:shd w:val="clear" w:color="auto" w:fill="C5E0B3"/>
          </w:tcPr>
          <w:p>
            <w:pPr>
              <w:jc w:val="center"/>
              <w:ind w:right="300"/>
              <w:spacing w:after="0" w:line="171" w:lineRule="exact"/>
              <w:rPr>
                <w:sz w:val="20"/>
                <w:szCs w:val="20"/>
                <w:color w:val="auto"/>
              </w:rPr>
            </w:pPr>
            <w:r>
              <w:rPr>
                <w:rFonts w:ascii="Arial" w:cs="Arial" w:eastAsia="Arial" w:hAnsi="Arial"/>
                <w:sz w:val="16"/>
                <w:szCs w:val="16"/>
                <w:b w:val="1"/>
                <w:bCs w:val="1"/>
                <w:color w:val="auto"/>
                <w:w w:val="99"/>
              </w:rPr>
              <w:t>YES</w:t>
            </w:r>
          </w:p>
        </w:tc>
        <w:tc>
          <w:tcPr>
            <w:tcW w:w="1000" w:type="dxa"/>
            <w:vAlign w:val="bottom"/>
            <w:tcBorders>
              <w:bottom w:val="single" w:sz="8" w:color="auto"/>
            </w:tcBorders>
            <w:gridSpan w:val="3"/>
            <w:shd w:val="clear" w:color="auto" w:fill="C5E0B3"/>
          </w:tcPr>
          <w:p>
            <w:pPr>
              <w:jc w:val="center"/>
              <w:spacing w:after="0" w:line="171" w:lineRule="exact"/>
              <w:rPr>
                <w:sz w:val="20"/>
                <w:szCs w:val="20"/>
                <w:color w:val="auto"/>
              </w:rPr>
            </w:pPr>
            <w:r>
              <w:rPr>
                <w:rFonts w:ascii="Arial" w:cs="Arial" w:eastAsia="Arial" w:hAnsi="Arial"/>
                <w:sz w:val="16"/>
                <w:szCs w:val="16"/>
                <w:b w:val="1"/>
                <w:bCs w:val="1"/>
                <w:color w:val="auto"/>
                <w:w w:val="99"/>
              </w:rPr>
              <w:t>YES</w:t>
            </w:r>
          </w:p>
        </w:tc>
        <w:tc>
          <w:tcPr>
            <w:tcW w:w="1300" w:type="dxa"/>
            <w:vAlign w:val="bottom"/>
            <w:tcBorders>
              <w:bottom w:val="single" w:sz="8" w:color="auto"/>
            </w:tcBorders>
            <w:gridSpan w:val="3"/>
            <w:shd w:val="clear" w:color="auto" w:fill="C5E0B3"/>
          </w:tcPr>
          <w:p>
            <w:pPr>
              <w:jc w:val="center"/>
              <w:spacing w:after="0" w:line="171" w:lineRule="exact"/>
              <w:rPr>
                <w:sz w:val="20"/>
                <w:szCs w:val="20"/>
                <w:color w:val="auto"/>
              </w:rPr>
            </w:pPr>
            <w:r>
              <w:rPr>
                <w:rFonts w:ascii="Arial" w:cs="Arial" w:eastAsia="Arial" w:hAnsi="Arial"/>
                <w:sz w:val="16"/>
                <w:szCs w:val="16"/>
                <w:b w:val="1"/>
                <w:bCs w:val="1"/>
                <w:color w:val="auto"/>
                <w:w w:val="99"/>
              </w:rPr>
              <w:t>YES</w:t>
            </w:r>
          </w:p>
        </w:tc>
        <w:tc>
          <w:tcPr>
            <w:tcW w:w="1100" w:type="dxa"/>
            <w:vAlign w:val="bottom"/>
            <w:tcBorders>
              <w:bottom w:val="single" w:sz="8" w:color="auto"/>
            </w:tcBorders>
            <w:gridSpan w:val="3"/>
            <w:shd w:val="clear" w:color="auto" w:fill="C5E0B3"/>
          </w:tcPr>
          <w:p>
            <w:pPr>
              <w:jc w:val="center"/>
              <w:ind w:right="20"/>
              <w:spacing w:after="0" w:line="171" w:lineRule="exact"/>
              <w:rPr>
                <w:sz w:val="20"/>
                <w:szCs w:val="20"/>
                <w:color w:val="auto"/>
              </w:rPr>
            </w:pPr>
            <w:r>
              <w:rPr>
                <w:rFonts w:ascii="Arial" w:cs="Arial" w:eastAsia="Arial" w:hAnsi="Arial"/>
                <w:sz w:val="16"/>
                <w:szCs w:val="16"/>
                <w:b w:val="1"/>
                <w:bCs w:val="1"/>
                <w:color w:val="auto"/>
                <w:w w:val="99"/>
              </w:rPr>
              <w:t>YES</w:t>
            </w:r>
          </w:p>
        </w:tc>
        <w:tc>
          <w:tcPr>
            <w:tcW w:w="1140" w:type="dxa"/>
            <w:vAlign w:val="bottom"/>
            <w:tcBorders>
              <w:bottom w:val="single" w:sz="8" w:color="auto"/>
            </w:tcBorders>
            <w:gridSpan w:val="3"/>
            <w:shd w:val="clear" w:color="auto" w:fill="C5E0B3"/>
          </w:tcPr>
          <w:p>
            <w:pPr>
              <w:jc w:val="center"/>
              <w:ind w:right="40"/>
              <w:spacing w:after="0" w:line="171" w:lineRule="exact"/>
              <w:rPr>
                <w:sz w:val="20"/>
                <w:szCs w:val="20"/>
                <w:color w:val="auto"/>
              </w:rPr>
            </w:pPr>
            <w:r>
              <w:rPr>
                <w:rFonts w:ascii="Arial" w:cs="Arial" w:eastAsia="Arial" w:hAnsi="Arial"/>
                <w:sz w:val="16"/>
                <w:szCs w:val="16"/>
                <w:b w:val="1"/>
                <w:bCs w:val="1"/>
                <w:color w:val="auto"/>
                <w:w w:val="93"/>
              </w:rPr>
              <w:t>YES</w:t>
            </w:r>
          </w:p>
        </w:tc>
        <w:tc>
          <w:tcPr>
            <w:tcW w:w="360" w:type="dxa"/>
            <w:vAlign w:val="bottom"/>
            <w:tcBorders>
              <w:bottom w:val="single" w:sz="8" w:color="auto"/>
            </w:tcBorders>
            <w:shd w:val="clear" w:color="auto" w:fill="C5E0B3"/>
          </w:tcPr>
          <w:p>
            <w:pPr>
              <w:spacing w:after="0"/>
              <w:rPr>
                <w:sz w:val="18"/>
                <w:szCs w:val="18"/>
                <w:color w:val="auto"/>
              </w:rPr>
            </w:pPr>
          </w:p>
        </w:tc>
        <w:tc>
          <w:tcPr>
            <w:tcW w:w="660" w:type="dxa"/>
            <w:vAlign w:val="bottom"/>
            <w:tcBorders>
              <w:bottom w:val="single" w:sz="8" w:color="auto"/>
            </w:tcBorders>
            <w:gridSpan w:val="2"/>
            <w:shd w:val="clear" w:color="auto" w:fill="C5E0B3"/>
          </w:tcPr>
          <w:p>
            <w:pPr>
              <w:jc w:val="center"/>
              <w:ind w:right="340"/>
              <w:spacing w:after="0" w:line="171" w:lineRule="exact"/>
              <w:rPr>
                <w:sz w:val="20"/>
                <w:szCs w:val="20"/>
                <w:color w:val="auto"/>
              </w:rPr>
            </w:pPr>
            <w:r>
              <w:rPr>
                <w:rFonts w:ascii="Arial" w:cs="Arial" w:eastAsia="Arial" w:hAnsi="Arial"/>
                <w:sz w:val="16"/>
                <w:szCs w:val="16"/>
                <w:b w:val="1"/>
                <w:bCs w:val="1"/>
                <w:color w:val="auto"/>
                <w:w w:val="99"/>
              </w:rPr>
              <w:t>YES</w:t>
            </w:r>
          </w:p>
        </w:tc>
        <w:tc>
          <w:tcPr>
            <w:tcW w:w="520" w:type="dxa"/>
            <w:vAlign w:val="bottom"/>
            <w:tcBorders>
              <w:bottom w:val="single" w:sz="8" w:color="auto"/>
            </w:tcBorders>
            <w:shd w:val="clear" w:color="auto" w:fill="C5E0B3"/>
          </w:tcPr>
          <w:p>
            <w:pPr>
              <w:spacing w:after="0"/>
              <w:rPr>
                <w:sz w:val="18"/>
                <w:szCs w:val="18"/>
                <w:color w:val="auto"/>
              </w:rPr>
            </w:pPr>
          </w:p>
        </w:tc>
        <w:tc>
          <w:tcPr>
            <w:tcW w:w="820" w:type="dxa"/>
            <w:vAlign w:val="bottom"/>
            <w:tcBorders>
              <w:bottom w:val="single" w:sz="8" w:color="auto"/>
            </w:tcBorders>
            <w:gridSpan w:val="2"/>
            <w:shd w:val="clear" w:color="auto" w:fill="C5E0B3"/>
          </w:tcPr>
          <w:p>
            <w:pPr>
              <w:jc w:val="center"/>
              <w:ind w:right="500"/>
              <w:spacing w:after="0" w:line="171" w:lineRule="exact"/>
              <w:rPr>
                <w:sz w:val="20"/>
                <w:szCs w:val="20"/>
                <w:color w:val="auto"/>
              </w:rPr>
            </w:pPr>
            <w:r>
              <w:rPr>
                <w:rFonts w:ascii="Arial" w:cs="Arial" w:eastAsia="Arial" w:hAnsi="Arial"/>
                <w:sz w:val="16"/>
                <w:szCs w:val="16"/>
                <w:b w:val="1"/>
                <w:bCs w:val="1"/>
                <w:color w:val="auto"/>
              </w:rPr>
              <w:t>X</w:t>
            </w:r>
          </w:p>
        </w:tc>
        <w:tc>
          <w:tcPr>
            <w:tcW w:w="340" w:type="dxa"/>
            <w:vAlign w:val="bottom"/>
            <w:tcBorders>
              <w:bottom w:val="single" w:sz="8" w:color="auto"/>
            </w:tcBorders>
            <w:shd w:val="clear" w:color="auto" w:fill="C5E0B3"/>
          </w:tcPr>
          <w:p>
            <w:pPr>
              <w:spacing w:after="0"/>
              <w:rPr>
                <w:sz w:val="18"/>
                <w:szCs w:val="18"/>
                <w:color w:val="auto"/>
              </w:rPr>
            </w:pPr>
          </w:p>
        </w:tc>
        <w:tc>
          <w:tcPr>
            <w:tcW w:w="40" w:type="dxa"/>
            <w:vAlign w:val="bottom"/>
            <w:tcBorders>
              <w:bottom w:val="single" w:sz="8" w:color="auto"/>
            </w:tcBorders>
            <w:shd w:val="clear" w:color="auto" w:fill="C5E0B3"/>
          </w:tcPr>
          <w:p>
            <w:pPr>
              <w:spacing w:after="0"/>
              <w:rPr>
                <w:sz w:val="18"/>
                <w:szCs w:val="18"/>
                <w:color w:val="auto"/>
              </w:rPr>
            </w:pPr>
          </w:p>
        </w:tc>
        <w:tc>
          <w:tcPr>
            <w:tcW w:w="740" w:type="dxa"/>
            <w:vAlign w:val="bottom"/>
            <w:tcBorders>
              <w:bottom w:val="single" w:sz="8" w:color="auto"/>
            </w:tcBorders>
            <w:gridSpan w:val="3"/>
            <w:shd w:val="clear" w:color="auto" w:fill="C5E0B3"/>
          </w:tcPr>
          <w:p>
            <w:pPr>
              <w:jc w:val="center"/>
              <w:ind w:right="420"/>
              <w:spacing w:after="0" w:line="171" w:lineRule="exact"/>
              <w:rPr>
                <w:sz w:val="20"/>
                <w:szCs w:val="20"/>
                <w:color w:val="auto"/>
              </w:rPr>
            </w:pPr>
            <w:r>
              <w:rPr>
                <w:rFonts w:ascii="Arial" w:cs="Arial" w:eastAsia="Arial" w:hAnsi="Arial"/>
                <w:sz w:val="16"/>
                <w:szCs w:val="16"/>
                <w:b w:val="1"/>
                <w:bCs w:val="1"/>
                <w:color w:val="auto"/>
              </w:rPr>
              <w:t>X</w:t>
            </w:r>
          </w:p>
        </w:tc>
        <w:tc>
          <w:tcPr>
            <w:tcW w:w="360" w:type="dxa"/>
            <w:vAlign w:val="bottom"/>
            <w:tcBorders>
              <w:bottom w:val="single" w:sz="8" w:color="auto"/>
            </w:tcBorders>
            <w:shd w:val="clear" w:color="auto" w:fill="C5E0B3"/>
          </w:tcPr>
          <w:p>
            <w:pPr>
              <w:spacing w:after="0"/>
              <w:rPr>
                <w:sz w:val="18"/>
                <w:szCs w:val="18"/>
                <w:color w:val="auto"/>
              </w:rPr>
            </w:pPr>
          </w:p>
        </w:tc>
        <w:tc>
          <w:tcPr>
            <w:tcW w:w="720" w:type="dxa"/>
            <w:vAlign w:val="bottom"/>
            <w:tcBorders>
              <w:bottom w:val="single" w:sz="8" w:color="auto"/>
            </w:tcBorders>
            <w:gridSpan w:val="2"/>
            <w:shd w:val="clear" w:color="auto" w:fill="C5E0B3"/>
          </w:tcPr>
          <w:p>
            <w:pPr>
              <w:jc w:val="center"/>
              <w:ind w:right="400"/>
              <w:spacing w:after="0" w:line="171" w:lineRule="exact"/>
              <w:rPr>
                <w:sz w:val="20"/>
                <w:szCs w:val="20"/>
                <w:color w:val="auto"/>
              </w:rPr>
            </w:pPr>
            <w:r>
              <w:rPr>
                <w:rFonts w:ascii="Arial" w:cs="Arial" w:eastAsia="Arial" w:hAnsi="Arial"/>
                <w:sz w:val="16"/>
                <w:szCs w:val="16"/>
                <w:b w:val="1"/>
                <w:bCs w:val="1"/>
                <w:color w:val="auto"/>
                <w:w w:val="99"/>
              </w:rPr>
              <w:t>YES</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shd w:val="clear" w:color="auto" w:fill="C5E0B3"/>
          </w:tcPr>
          <w:p>
            <w:pPr>
              <w:jc w:val="center"/>
              <w:spacing w:after="0"/>
              <w:rPr>
                <w:sz w:val="20"/>
                <w:szCs w:val="20"/>
                <w:color w:val="auto"/>
              </w:rPr>
            </w:pPr>
            <w:r>
              <w:rPr>
                <w:rFonts w:ascii="Arial" w:cs="Arial" w:eastAsia="Arial" w:hAnsi="Arial"/>
                <w:sz w:val="13"/>
                <w:szCs w:val="13"/>
                <w:b w:val="1"/>
                <w:bCs w:val="1"/>
                <w:color w:val="auto"/>
                <w:w w:val="92"/>
              </w:rPr>
              <w:t>Kenneth Courtis</w:t>
            </w:r>
          </w:p>
        </w:tc>
        <w:tc>
          <w:tcPr>
            <w:tcW w:w="300" w:type="dxa"/>
            <w:vAlign w:val="bottom"/>
            <w:tcBorders>
              <w:bottom w:val="single" w:sz="8" w:color="auto"/>
            </w:tcBorders>
            <w:shd w:val="clear" w:color="auto" w:fill="C5E0B3"/>
          </w:tcPr>
          <w:p>
            <w:pPr>
              <w:spacing w:after="0"/>
              <w:rPr>
                <w:sz w:val="18"/>
                <w:szCs w:val="18"/>
                <w:color w:val="auto"/>
              </w:rPr>
            </w:pPr>
          </w:p>
        </w:tc>
        <w:tc>
          <w:tcPr>
            <w:tcW w:w="620" w:type="dxa"/>
            <w:vAlign w:val="bottom"/>
            <w:tcBorders>
              <w:bottom w:val="single" w:sz="8" w:color="auto"/>
            </w:tcBorders>
            <w:gridSpan w:val="2"/>
            <w:shd w:val="clear" w:color="auto" w:fill="C5E0B3"/>
          </w:tcPr>
          <w:p>
            <w:pPr>
              <w:jc w:val="center"/>
              <w:ind w:right="300"/>
              <w:spacing w:after="0" w:line="171" w:lineRule="exact"/>
              <w:rPr>
                <w:sz w:val="20"/>
                <w:szCs w:val="20"/>
                <w:color w:val="auto"/>
              </w:rPr>
            </w:pPr>
            <w:r>
              <w:rPr>
                <w:rFonts w:ascii="Arial" w:cs="Arial" w:eastAsia="Arial" w:hAnsi="Arial"/>
                <w:sz w:val="16"/>
                <w:szCs w:val="16"/>
                <w:b w:val="1"/>
                <w:bCs w:val="1"/>
                <w:color w:val="auto"/>
                <w:w w:val="99"/>
              </w:rPr>
              <w:t>YES</w:t>
            </w:r>
          </w:p>
        </w:tc>
        <w:tc>
          <w:tcPr>
            <w:tcW w:w="1000" w:type="dxa"/>
            <w:vAlign w:val="bottom"/>
            <w:tcBorders>
              <w:bottom w:val="single" w:sz="8" w:color="auto"/>
            </w:tcBorders>
            <w:gridSpan w:val="3"/>
            <w:shd w:val="clear" w:color="auto" w:fill="C5E0B3"/>
          </w:tcPr>
          <w:p>
            <w:pPr>
              <w:jc w:val="center"/>
              <w:spacing w:after="0" w:line="171" w:lineRule="exact"/>
              <w:rPr>
                <w:sz w:val="20"/>
                <w:szCs w:val="20"/>
                <w:color w:val="auto"/>
              </w:rPr>
            </w:pPr>
            <w:r>
              <w:rPr>
                <w:rFonts w:ascii="Arial" w:cs="Arial" w:eastAsia="Arial" w:hAnsi="Arial"/>
                <w:sz w:val="16"/>
                <w:szCs w:val="16"/>
                <w:b w:val="1"/>
                <w:bCs w:val="1"/>
                <w:color w:val="auto"/>
                <w:w w:val="99"/>
              </w:rPr>
              <w:t>YES</w:t>
            </w:r>
          </w:p>
        </w:tc>
        <w:tc>
          <w:tcPr>
            <w:tcW w:w="1300" w:type="dxa"/>
            <w:vAlign w:val="bottom"/>
            <w:tcBorders>
              <w:bottom w:val="single" w:sz="8" w:color="auto"/>
            </w:tcBorders>
            <w:gridSpan w:val="3"/>
            <w:shd w:val="clear" w:color="auto" w:fill="C5E0B3"/>
          </w:tcPr>
          <w:p>
            <w:pPr>
              <w:jc w:val="center"/>
              <w:spacing w:after="0" w:line="171" w:lineRule="exact"/>
              <w:rPr>
                <w:sz w:val="20"/>
                <w:szCs w:val="20"/>
                <w:color w:val="auto"/>
              </w:rPr>
            </w:pPr>
            <w:r>
              <w:rPr>
                <w:rFonts w:ascii="Arial" w:cs="Arial" w:eastAsia="Arial" w:hAnsi="Arial"/>
                <w:sz w:val="16"/>
                <w:szCs w:val="16"/>
                <w:b w:val="1"/>
                <w:bCs w:val="1"/>
                <w:color w:val="auto"/>
                <w:w w:val="99"/>
              </w:rPr>
              <w:t>YES</w:t>
            </w:r>
          </w:p>
        </w:tc>
        <w:tc>
          <w:tcPr>
            <w:tcW w:w="1100" w:type="dxa"/>
            <w:vAlign w:val="bottom"/>
            <w:tcBorders>
              <w:bottom w:val="single" w:sz="8" w:color="auto"/>
            </w:tcBorders>
            <w:gridSpan w:val="3"/>
            <w:shd w:val="clear" w:color="auto" w:fill="C5E0B3"/>
          </w:tcPr>
          <w:p>
            <w:pPr>
              <w:jc w:val="center"/>
              <w:ind w:right="20"/>
              <w:spacing w:after="0" w:line="171" w:lineRule="exact"/>
              <w:rPr>
                <w:sz w:val="20"/>
                <w:szCs w:val="20"/>
                <w:color w:val="auto"/>
              </w:rPr>
            </w:pPr>
            <w:r>
              <w:rPr>
                <w:rFonts w:ascii="Arial" w:cs="Arial" w:eastAsia="Arial" w:hAnsi="Arial"/>
                <w:sz w:val="16"/>
                <w:szCs w:val="16"/>
                <w:b w:val="1"/>
                <w:bCs w:val="1"/>
                <w:color w:val="auto"/>
                <w:w w:val="99"/>
              </w:rPr>
              <w:t>YES</w:t>
            </w:r>
          </w:p>
        </w:tc>
        <w:tc>
          <w:tcPr>
            <w:tcW w:w="400" w:type="dxa"/>
            <w:vAlign w:val="bottom"/>
            <w:tcBorders>
              <w:bottom w:val="single" w:sz="8" w:color="auto"/>
            </w:tcBorders>
            <w:shd w:val="clear" w:color="auto" w:fill="C5E0B3"/>
          </w:tcPr>
          <w:p>
            <w:pPr>
              <w:spacing w:after="0"/>
              <w:rPr>
                <w:sz w:val="18"/>
                <w:szCs w:val="18"/>
                <w:color w:val="auto"/>
              </w:rPr>
            </w:pPr>
          </w:p>
        </w:tc>
        <w:tc>
          <w:tcPr>
            <w:tcW w:w="740" w:type="dxa"/>
            <w:vAlign w:val="bottom"/>
            <w:tcBorders>
              <w:bottom w:val="single" w:sz="8" w:color="auto"/>
            </w:tcBorders>
            <w:gridSpan w:val="2"/>
            <w:shd w:val="clear" w:color="auto" w:fill="C5E0B3"/>
          </w:tcPr>
          <w:p>
            <w:pPr>
              <w:jc w:val="center"/>
              <w:ind w:right="440"/>
              <w:spacing w:after="0" w:line="171" w:lineRule="exact"/>
              <w:rPr>
                <w:sz w:val="20"/>
                <w:szCs w:val="20"/>
                <w:color w:val="auto"/>
              </w:rPr>
            </w:pPr>
            <w:r>
              <w:rPr>
                <w:rFonts w:ascii="Arial" w:cs="Arial" w:eastAsia="Arial" w:hAnsi="Arial"/>
                <w:sz w:val="16"/>
                <w:szCs w:val="16"/>
                <w:b w:val="1"/>
                <w:bCs w:val="1"/>
                <w:color w:val="auto"/>
                <w:w w:val="93"/>
              </w:rPr>
              <w:t>X</w:t>
            </w:r>
          </w:p>
        </w:tc>
        <w:tc>
          <w:tcPr>
            <w:tcW w:w="360" w:type="dxa"/>
            <w:vAlign w:val="bottom"/>
            <w:tcBorders>
              <w:bottom w:val="single" w:sz="8" w:color="auto"/>
            </w:tcBorders>
            <w:shd w:val="clear" w:color="auto" w:fill="C5E0B3"/>
          </w:tcPr>
          <w:p>
            <w:pPr>
              <w:spacing w:after="0"/>
              <w:rPr>
                <w:sz w:val="18"/>
                <w:szCs w:val="18"/>
                <w:color w:val="auto"/>
              </w:rPr>
            </w:pPr>
          </w:p>
        </w:tc>
        <w:tc>
          <w:tcPr>
            <w:tcW w:w="660" w:type="dxa"/>
            <w:vAlign w:val="bottom"/>
            <w:tcBorders>
              <w:bottom w:val="single" w:sz="8" w:color="auto"/>
            </w:tcBorders>
            <w:gridSpan w:val="2"/>
            <w:shd w:val="clear" w:color="auto" w:fill="C5E0B3"/>
          </w:tcPr>
          <w:p>
            <w:pPr>
              <w:jc w:val="center"/>
              <w:ind w:right="340"/>
              <w:spacing w:after="0" w:line="171" w:lineRule="exact"/>
              <w:rPr>
                <w:sz w:val="20"/>
                <w:szCs w:val="20"/>
                <w:color w:val="auto"/>
              </w:rPr>
            </w:pPr>
            <w:r>
              <w:rPr>
                <w:rFonts w:ascii="Arial" w:cs="Arial" w:eastAsia="Arial" w:hAnsi="Arial"/>
                <w:sz w:val="16"/>
                <w:szCs w:val="16"/>
                <w:b w:val="1"/>
                <w:bCs w:val="1"/>
                <w:color w:val="auto"/>
                <w:w w:val="99"/>
              </w:rPr>
              <w:t>YES</w:t>
            </w:r>
          </w:p>
        </w:tc>
        <w:tc>
          <w:tcPr>
            <w:tcW w:w="520" w:type="dxa"/>
            <w:vAlign w:val="bottom"/>
            <w:tcBorders>
              <w:bottom w:val="single" w:sz="8" w:color="auto"/>
            </w:tcBorders>
            <w:shd w:val="clear" w:color="auto" w:fill="C5E0B3"/>
          </w:tcPr>
          <w:p>
            <w:pPr>
              <w:spacing w:after="0"/>
              <w:rPr>
                <w:sz w:val="18"/>
                <w:szCs w:val="18"/>
                <w:color w:val="auto"/>
              </w:rPr>
            </w:pPr>
          </w:p>
        </w:tc>
        <w:tc>
          <w:tcPr>
            <w:tcW w:w="820" w:type="dxa"/>
            <w:vAlign w:val="bottom"/>
            <w:tcBorders>
              <w:bottom w:val="single" w:sz="8" w:color="auto"/>
            </w:tcBorders>
            <w:gridSpan w:val="2"/>
            <w:shd w:val="clear" w:color="auto" w:fill="C5E0B3"/>
          </w:tcPr>
          <w:p>
            <w:pPr>
              <w:jc w:val="center"/>
              <w:ind w:right="500"/>
              <w:spacing w:after="0" w:line="171" w:lineRule="exact"/>
              <w:rPr>
                <w:sz w:val="20"/>
                <w:szCs w:val="20"/>
                <w:color w:val="auto"/>
              </w:rPr>
            </w:pPr>
            <w:r>
              <w:rPr>
                <w:rFonts w:ascii="Arial" w:cs="Arial" w:eastAsia="Arial" w:hAnsi="Arial"/>
                <w:sz w:val="16"/>
                <w:szCs w:val="16"/>
                <w:b w:val="1"/>
                <w:bCs w:val="1"/>
                <w:color w:val="auto"/>
                <w:w w:val="99"/>
              </w:rPr>
              <w:t>YES</w:t>
            </w:r>
          </w:p>
        </w:tc>
        <w:tc>
          <w:tcPr>
            <w:tcW w:w="340" w:type="dxa"/>
            <w:vAlign w:val="bottom"/>
            <w:tcBorders>
              <w:bottom w:val="single" w:sz="8" w:color="auto"/>
            </w:tcBorders>
            <w:shd w:val="clear" w:color="auto" w:fill="C5E0B3"/>
          </w:tcPr>
          <w:p>
            <w:pPr>
              <w:spacing w:after="0"/>
              <w:rPr>
                <w:sz w:val="18"/>
                <w:szCs w:val="18"/>
                <w:color w:val="auto"/>
              </w:rPr>
            </w:pPr>
          </w:p>
        </w:tc>
        <w:tc>
          <w:tcPr>
            <w:tcW w:w="780" w:type="dxa"/>
            <w:vAlign w:val="bottom"/>
            <w:tcBorders>
              <w:bottom w:val="single" w:sz="8" w:color="auto"/>
            </w:tcBorders>
            <w:gridSpan w:val="4"/>
            <w:shd w:val="clear" w:color="auto" w:fill="C5E0B3"/>
          </w:tcPr>
          <w:p>
            <w:pPr>
              <w:jc w:val="center"/>
              <w:ind w:right="380"/>
              <w:spacing w:after="0" w:line="171" w:lineRule="exact"/>
              <w:rPr>
                <w:sz w:val="20"/>
                <w:szCs w:val="20"/>
                <w:color w:val="auto"/>
              </w:rPr>
            </w:pPr>
            <w:r>
              <w:rPr>
                <w:rFonts w:ascii="Arial" w:cs="Arial" w:eastAsia="Arial" w:hAnsi="Arial"/>
                <w:sz w:val="16"/>
                <w:szCs w:val="16"/>
                <w:b w:val="1"/>
                <w:bCs w:val="1"/>
                <w:color w:val="auto"/>
                <w:w w:val="99"/>
              </w:rPr>
              <w:t>YES</w:t>
            </w:r>
          </w:p>
        </w:tc>
        <w:tc>
          <w:tcPr>
            <w:tcW w:w="360" w:type="dxa"/>
            <w:vAlign w:val="bottom"/>
            <w:tcBorders>
              <w:bottom w:val="single" w:sz="8" w:color="auto"/>
            </w:tcBorders>
            <w:shd w:val="clear" w:color="auto" w:fill="C5E0B3"/>
          </w:tcPr>
          <w:p>
            <w:pPr>
              <w:spacing w:after="0"/>
              <w:rPr>
                <w:sz w:val="18"/>
                <w:szCs w:val="18"/>
                <w:color w:val="auto"/>
              </w:rPr>
            </w:pPr>
          </w:p>
        </w:tc>
        <w:tc>
          <w:tcPr>
            <w:tcW w:w="720" w:type="dxa"/>
            <w:vAlign w:val="bottom"/>
            <w:tcBorders>
              <w:bottom w:val="single" w:sz="8" w:color="auto"/>
            </w:tcBorders>
            <w:gridSpan w:val="2"/>
            <w:shd w:val="clear" w:color="auto" w:fill="C5E0B3"/>
          </w:tcPr>
          <w:p>
            <w:pPr>
              <w:jc w:val="center"/>
              <w:ind w:right="400"/>
              <w:spacing w:after="0" w:line="171" w:lineRule="exact"/>
              <w:rPr>
                <w:sz w:val="20"/>
                <w:szCs w:val="20"/>
                <w:color w:val="auto"/>
              </w:rPr>
            </w:pPr>
            <w:r>
              <w:rPr>
                <w:rFonts w:ascii="Arial" w:cs="Arial" w:eastAsia="Arial" w:hAnsi="Arial"/>
                <w:sz w:val="16"/>
                <w:szCs w:val="16"/>
                <w:b w:val="1"/>
                <w:bCs w:val="1"/>
                <w:color w:val="auto"/>
                <w:w w:val="99"/>
              </w:rPr>
              <w:t>YES</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shd w:val="clear" w:color="auto" w:fill="C5E0B3"/>
          </w:tcPr>
          <w:p>
            <w:pPr>
              <w:jc w:val="center"/>
              <w:spacing w:after="0"/>
              <w:rPr>
                <w:sz w:val="20"/>
                <w:szCs w:val="20"/>
                <w:color w:val="auto"/>
              </w:rPr>
            </w:pPr>
            <w:r>
              <w:rPr>
                <w:rFonts w:ascii="Arial" w:cs="Arial" w:eastAsia="Arial" w:hAnsi="Arial"/>
                <w:sz w:val="13"/>
                <w:szCs w:val="13"/>
                <w:b w:val="1"/>
                <w:bCs w:val="1"/>
                <w:color w:val="auto"/>
                <w:w w:val="92"/>
              </w:rPr>
              <w:t>Michael Gorzynski</w:t>
            </w:r>
          </w:p>
        </w:tc>
        <w:tc>
          <w:tcPr>
            <w:tcW w:w="300" w:type="dxa"/>
            <w:vAlign w:val="bottom"/>
            <w:tcBorders>
              <w:bottom w:val="single" w:sz="8" w:color="auto"/>
            </w:tcBorders>
            <w:shd w:val="clear" w:color="auto" w:fill="C5E0B3"/>
          </w:tcPr>
          <w:p>
            <w:pPr>
              <w:spacing w:after="0"/>
              <w:rPr>
                <w:sz w:val="18"/>
                <w:szCs w:val="18"/>
                <w:color w:val="auto"/>
              </w:rPr>
            </w:pPr>
          </w:p>
        </w:tc>
        <w:tc>
          <w:tcPr>
            <w:tcW w:w="620" w:type="dxa"/>
            <w:vAlign w:val="bottom"/>
            <w:tcBorders>
              <w:bottom w:val="single" w:sz="8" w:color="auto"/>
            </w:tcBorders>
            <w:gridSpan w:val="2"/>
            <w:shd w:val="clear" w:color="auto" w:fill="C5E0B3"/>
          </w:tcPr>
          <w:p>
            <w:pPr>
              <w:jc w:val="center"/>
              <w:ind w:right="300"/>
              <w:spacing w:after="0" w:line="171" w:lineRule="exact"/>
              <w:rPr>
                <w:sz w:val="20"/>
                <w:szCs w:val="20"/>
                <w:color w:val="auto"/>
              </w:rPr>
            </w:pPr>
            <w:r>
              <w:rPr>
                <w:rFonts w:ascii="Arial" w:cs="Arial" w:eastAsia="Arial" w:hAnsi="Arial"/>
                <w:sz w:val="16"/>
                <w:szCs w:val="16"/>
                <w:b w:val="1"/>
                <w:bCs w:val="1"/>
                <w:color w:val="auto"/>
                <w:w w:val="99"/>
              </w:rPr>
              <w:t>YES</w:t>
            </w:r>
          </w:p>
        </w:tc>
        <w:tc>
          <w:tcPr>
            <w:tcW w:w="1000" w:type="dxa"/>
            <w:vAlign w:val="bottom"/>
            <w:tcBorders>
              <w:bottom w:val="single" w:sz="8" w:color="auto"/>
            </w:tcBorders>
            <w:gridSpan w:val="3"/>
            <w:shd w:val="clear" w:color="auto" w:fill="C5E0B3"/>
          </w:tcPr>
          <w:p>
            <w:pPr>
              <w:jc w:val="center"/>
              <w:spacing w:after="0" w:line="171" w:lineRule="exact"/>
              <w:rPr>
                <w:sz w:val="20"/>
                <w:szCs w:val="20"/>
                <w:color w:val="auto"/>
              </w:rPr>
            </w:pPr>
            <w:r>
              <w:rPr>
                <w:rFonts w:ascii="Arial" w:cs="Arial" w:eastAsia="Arial" w:hAnsi="Arial"/>
                <w:sz w:val="16"/>
                <w:szCs w:val="16"/>
                <w:b w:val="1"/>
                <w:bCs w:val="1"/>
                <w:color w:val="auto"/>
                <w:w w:val="99"/>
              </w:rPr>
              <w:t>YES</w:t>
            </w:r>
          </w:p>
        </w:tc>
        <w:tc>
          <w:tcPr>
            <w:tcW w:w="1300" w:type="dxa"/>
            <w:vAlign w:val="bottom"/>
            <w:tcBorders>
              <w:bottom w:val="single" w:sz="8" w:color="auto"/>
            </w:tcBorders>
            <w:gridSpan w:val="3"/>
            <w:shd w:val="clear" w:color="auto" w:fill="C5E0B3"/>
          </w:tcPr>
          <w:p>
            <w:pPr>
              <w:jc w:val="center"/>
              <w:spacing w:after="0" w:line="171" w:lineRule="exact"/>
              <w:rPr>
                <w:sz w:val="20"/>
                <w:szCs w:val="20"/>
                <w:color w:val="auto"/>
              </w:rPr>
            </w:pPr>
            <w:r>
              <w:rPr>
                <w:rFonts w:ascii="Arial" w:cs="Arial" w:eastAsia="Arial" w:hAnsi="Arial"/>
                <w:sz w:val="16"/>
                <w:szCs w:val="16"/>
                <w:b w:val="1"/>
                <w:bCs w:val="1"/>
                <w:color w:val="auto"/>
                <w:w w:val="99"/>
              </w:rPr>
              <w:t>YES</w:t>
            </w:r>
          </w:p>
        </w:tc>
        <w:tc>
          <w:tcPr>
            <w:tcW w:w="1100" w:type="dxa"/>
            <w:vAlign w:val="bottom"/>
            <w:tcBorders>
              <w:bottom w:val="single" w:sz="8" w:color="auto"/>
            </w:tcBorders>
            <w:gridSpan w:val="3"/>
            <w:shd w:val="clear" w:color="auto" w:fill="C5E0B3"/>
          </w:tcPr>
          <w:p>
            <w:pPr>
              <w:jc w:val="center"/>
              <w:ind w:right="20"/>
              <w:spacing w:after="0" w:line="171" w:lineRule="exact"/>
              <w:rPr>
                <w:sz w:val="20"/>
                <w:szCs w:val="20"/>
                <w:color w:val="auto"/>
              </w:rPr>
            </w:pPr>
            <w:r>
              <w:rPr>
                <w:rFonts w:ascii="Arial" w:cs="Arial" w:eastAsia="Arial" w:hAnsi="Arial"/>
                <w:sz w:val="16"/>
                <w:szCs w:val="16"/>
                <w:b w:val="1"/>
                <w:bCs w:val="1"/>
                <w:color w:val="auto"/>
                <w:w w:val="99"/>
              </w:rPr>
              <w:t>YES</w:t>
            </w:r>
          </w:p>
        </w:tc>
        <w:tc>
          <w:tcPr>
            <w:tcW w:w="1140" w:type="dxa"/>
            <w:vAlign w:val="bottom"/>
            <w:tcBorders>
              <w:bottom w:val="single" w:sz="8" w:color="auto"/>
            </w:tcBorders>
            <w:gridSpan w:val="3"/>
            <w:shd w:val="clear" w:color="auto" w:fill="C5E0B3"/>
          </w:tcPr>
          <w:p>
            <w:pPr>
              <w:jc w:val="center"/>
              <w:ind w:right="40"/>
              <w:spacing w:after="0" w:line="171" w:lineRule="exact"/>
              <w:rPr>
                <w:sz w:val="20"/>
                <w:szCs w:val="20"/>
                <w:color w:val="auto"/>
              </w:rPr>
            </w:pPr>
            <w:r>
              <w:rPr>
                <w:rFonts w:ascii="Arial" w:cs="Arial" w:eastAsia="Arial" w:hAnsi="Arial"/>
                <w:sz w:val="16"/>
                <w:szCs w:val="16"/>
                <w:b w:val="1"/>
                <w:bCs w:val="1"/>
                <w:color w:val="auto"/>
                <w:w w:val="93"/>
              </w:rPr>
              <w:t>YES</w:t>
            </w:r>
          </w:p>
        </w:tc>
        <w:tc>
          <w:tcPr>
            <w:tcW w:w="360" w:type="dxa"/>
            <w:vAlign w:val="bottom"/>
            <w:tcBorders>
              <w:bottom w:val="single" w:sz="8" w:color="auto"/>
            </w:tcBorders>
            <w:shd w:val="clear" w:color="auto" w:fill="C5E0B3"/>
          </w:tcPr>
          <w:p>
            <w:pPr>
              <w:spacing w:after="0"/>
              <w:rPr>
                <w:sz w:val="18"/>
                <w:szCs w:val="18"/>
                <w:color w:val="auto"/>
              </w:rPr>
            </w:pPr>
          </w:p>
        </w:tc>
        <w:tc>
          <w:tcPr>
            <w:tcW w:w="660" w:type="dxa"/>
            <w:vAlign w:val="bottom"/>
            <w:tcBorders>
              <w:bottom w:val="single" w:sz="8" w:color="auto"/>
            </w:tcBorders>
            <w:gridSpan w:val="2"/>
            <w:shd w:val="clear" w:color="auto" w:fill="C5E0B3"/>
          </w:tcPr>
          <w:p>
            <w:pPr>
              <w:jc w:val="center"/>
              <w:ind w:right="340"/>
              <w:spacing w:after="0" w:line="171" w:lineRule="exact"/>
              <w:rPr>
                <w:sz w:val="20"/>
                <w:szCs w:val="20"/>
                <w:color w:val="auto"/>
              </w:rPr>
            </w:pPr>
            <w:r>
              <w:rPr>
                <w:rFonts w:ascii="Arial" w:cs="Arial" w:eastAsia="Arial" w:hAnsi="Arial"/>
                <w:sz w:val="16"/>
                <w:szCs w:val="16"/>
                <w:b w:val="1"/>
                <w:bCs w:val="1"/>
                <w:color w:val="auto"/>
                <w:w w:val="99"/>
              </w:rPr>
              <w:t>YES</w:t>
            </w:r>
          </w:p>
        </w:tc>
        <w:tc>
          <w:tcPr>
            <w:tcW w:w="520" w:type="dxa"/>
            <w:vAlign w:val="bottom"/>
            <w:tcBorders>
              <w:bottom w:val="single" w:sz="8" w:color="auto"/>
            </w:tcBorders>
            <w:shd w:val="clear" w:color="auto" w:fill="C5E0B3"/>
          </w:tcPr>
          <w:p>
            <w:pPr>
              <w:spacing w:after="0"/>
              <w:rPr>
                <w:sz w:val="18"/>
                <w:szCs w:val="18"/>
                <w:color w:val="auto"/>
              </w:rPr>
            </w:pPr>
          </w:p>
        </w:tc>
        <w:tc>
          <w:tcPr>
            <w:tcW w:w="820" w:type="dxa"/>
            <w:vAlign w:val="bottom"/>
            <w:tcBorders>
              <w:bottom w:val="single" w:sz="8" w:color="auto"/>
            </w:tcBorders>
            <w:gridSpan w:val="2"/>
            <w:shd w:val="clear" w:color="auto" w:fill="C5E0B3"/>
          </w:tcPr>
          <w:p>
            <w:pPr>
              <w:jc w:val="center"/>
              <w:ind w:right="500"/>
              <w:spacing w:after="0" w:line="171" w:lineRule="exact"/>
              <w:rPr>
                <w:sz w:val="20"/>
                <w:szCs w:val="20"/>
                <w:color w:val="auto"/>
              </w:rPr>
            </w:pPr>
            <w:r>
              <w:rPr>
                <w:rFonts w:ascii="Arial" w:cs="Arial" w:eastAsia="Arial" w:hAnsi="Arial"/>
                <w:sz w:val="16"/>
                <w:szCs w:val="16"/>
                <w:b w:val="1"/>
                <w:bCs w:val="1"/>
                <w:color w:val="auto"/>
                <w:w w:val="99"/>
              </w:rPr>
              <w:t>YES</w:t>
            </w:r>
          </w:p>
        </w:tc>
        <w:tc>
          <w:tcPr>
            <w:tcW w:w="340" w:type="dxa"/>
            <w:vAlign w:val="bottom"/>
            <w:tcBorders>
              <w:bottom w:val="single" w:sz="8" w:color="auto"/>
            </w:tcBorders>
            <w:shd w:val="clear" w:color="auto" w:fill="C5E0B3"/>
          </w:tcPr>
          <w:p>
            <w:pPr>
              <w:spacing w:after="0"/>
              <w:rPr>
                <w:sz w:val="18"/>
                <w:szCs w:val="18"/>
                <w:color w:val="auto"/>
              </w:rPr>
            </w:pPr>
          </w:p>
        </w:tc>
        <w:tc>
          <w:tcPr>
            <w:tcW w:w="780" w:type="dxa"/>
            <w:vAlign w:val="bottom"/>
            <w:tcBorders>
              <w:bottom w:val="single" w:sz="8" w:color="auto"/>
            </w:tcBorders>
            <w:gridSpan w:val="4"/>
            <w:shd w:val="clear" w:color="auto" w:fill="C5E0B3"/>
          </w:tcPr>
          <w:p>
            <w:pPr>
              <w:jc w:val="center"/>
              <w:ind w:right="380"/>
              <w:spacing w:after="0" w:line="171" w:lineRule="exact"/>
              <w:rPr>
                <w:sz w:val="20"/>
                <w:szCs w:val="20"/>
                <w:color w:val="auto"/>
              </w:rPr>
            </w:pPr>
            <w:r>
              <w:rPr>
                <w:rFonts w:ascii="Arial" w:cs="Arial" w:eastAsia="Arial" w:hAnsi="Arial"/>
                <w:sz w:val="16"/>
                <w:szCs w:val="16"/>
                <w:b w:val="1"/>
                <w:bCs w:val="1"/>
                <w:color w:val="auto"/>
                <w:w w:val="99"/>
              </w:rPr>
              <w:t>YES</w:t>
            </w:r>
          </w:p>
        </w:tc>
        <w:tc>
          <w:tcPr>
            <w:tcW w:w="360" w:type="dxa"/>
            <w:vAlign w:val="bottom"/>
            <w:tcBorders>
              <w:bottom w:val="single" w:sz="8" w:color="auto"/>
            </w:tcBorders>
            <w:shd w:val="clear" w:color="auto" w:fill="C5E0B3"/>
          </w:tcPr>
          <w:p>
            <w:pPr>
              <w:spacing w:after="0"/>
              <w:rPr>
                <w:sz w:val="18"/>
                <w:szCs w:val="18"/>
                <w:color w:val="auto"/>
              </w:rPr>
            </w:pPr>
          </w:p>
        </w:tc>
        <w:tc>
          <w:tcPr>
            <w:tcW w:w="720" w:type="dxa"/>
            <w:vAlign w:val="bottom"/>
            <w:tcBorders>
              <w:bottom w:val="single" w:sz="8" w:color="auto"/>
            </w:tcBorders>
            <w:gridSpan w:val="2"/>
            <w:shd w:val="clear" w:color="auto" w:fill="C5E0B3"/>
          </w:tcPr>
          <w:p>
            <w:pPr>
              <w:jc w:val="center"/>
              <w:ind w:right="400"/>
              <w:spacing w:after="0" w:line="171" w:lineRule="exact"/>
              <w:rPr>
                <w:sz w:val="20"/>
                <w:szCs w:val="20"/>
                <w:color w:val="auto"/>
              </w:rPr>
            </w:pPr>
            <w:r>
              <w:rPr>
                <w:rFonts w:ascii="Arial" w:cs="Arial" w:eastAsia="Arial" w:hAnsi="Arial"/>
                <w:sz w:val="16"/>
                <w:szCs w:val="16"/>
                <w:b w:val="1"/>
                <w:bCs w:val="1"/>
                <w:color w:val="auto"/>
                <w:w w:val="99"/>
              </w:rPr>
              <w:t>YES</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shd w:val="clear" w:color="auto" w:fill="C5E0B3"/>
          </w:tcPr>
          <w:p>
            <w:pPr>
              <w:jc w:val="center"/>
              <w:spacing w:after="0"/>
              <w:rPr>
                <w:sz w:val="20"/>
                <w:szCs w:val="20"/>
                <w:color w:val="auto"/>
              </w:rPr>
            </w:pPr>
            <w:r>
              <w:rPr>
                <w:rFonts w:ascii="Arial" w:cs="Arial" w:eastAsia="Arial" w:hAnsi="Arial"/>
                <w:sz w:val="13"/>
                <w:szCs w:val="13"/>
                <w:b w:val="1"/>
                <w:bCs w:val="1"/>
                <w:color w:val="auto"/>
                <w:w w:val="91"/>
              </w:rPr>
              <w:t>Robin Greenwood</w:t>
            </w:r>
          </w:p>
        </w:tc>
        <w:tc>
          <w:tcPr>
            <w:tcW w:w="300" w:type="dxa"/>
            <w:vAlign w:val="bottom"/>
            <w:tcBorders>
              <w:bottom w:val="single" w:sz="8" w:color="auto"/>
            </w:tcBorders>
            <w:shd w:val="clear" w:color="auto" w:fill="C5E0B3"/>
          </w:tcPr>
          <w:p>
            <w:pPr>
              <w:spacing w:after="0"/>
              <w:rPr>
                <w:sz w:val="18"/>
                <w:szCs w:val="18"/>
                <w:color w:val="auto"/>
              </w:rPr>
            </w:pPr>
          </w:p>
        </w:tc>
        <w:tc>
          <w:tcPr>
            <w:tcW w:w="620" w:type="dxa"/>
            <w:vAlign w:val="bottom"/>
            <w:tcBorders>
              <w:bottom w:val="single" w:sz="8" w:color="auto"/>
            </w:tcBorders>
            <w:gridSpan w:val="2"/>
            <w:shd w:val="clear" w:color="auto" w:fill="C5E0B3"/>
          </w:tcPr>
          <w:p>
            <w:pPr>
              <w:jc w:val="center"/>
              <w:ind w:right="300"/>
              <w:spacing w:after="0" w:line="171" w:lineRule="exact"/>
              <w:rPr>
                <w:sz w:val="20"/>
                <w:szCs w:val="20"/>
                <w:color w:val="auto"/>
              </w:rPr>
            </w:pPr>
            <w:r>
              <w:rPr>
                <w:rFonts w:ascii="Arial" w:cs="Arial" w:eastAsia="Arial" w:hAnsi="Arial"/>
                <w:sz w:val="16"/>
                <w:szCs w:val="16"/>
                <w:b w:val="1"/>
                <w:bCs w:val="1"/>
                <w:color w:val="auto"/>
              </w:rPr>
              <w:t>X</w:t>
            </w:r>
          </w:p>
        </w:tc>
        <w:tc>
          <w:tcPr>
            <w:tcW w:w="1000" w:type="dxa"/>
            <w:vAlign w:val="bottom"/>
            <w:tcBorders>
              <w:bottom w:val="single" w:sz="8" w:color="auto"/>
            </w:tcBorders>
            <w:gridSpan w:val="3"/>
            <w:shd w:val="clear" w:color="auto" w:fill="C5E0B3"/>
          </w:tcPr>
          <w:p>
            <w:pPr>
              <w:jc w:val="center"/>
              <w:spacing w:after="0" w:line="171" w:lineRule="exact"/>
              <w:rPr>
                <w:sz w:val="20"/>
                <w:szCs w:val="20"/>
                <w:color w:val="auto"/>
              </w:rPr>
            </w:pPr>
            <w:r>
              <w:rPr>
                <w:rFonts w:ascii="Arial" w:cs="Arial" w:eastAsia="Arial" w:hAnsi="Arial"/>
                <w:sz w:val="16"/>
                <w:szCs w:val="16"/>
                <w:b w:val="1"/>
                <w:bCs w:val="1"/>
                <w:color w:val="auto"/>
                <w:w w:val="99"/>
              </w:rPr>
              <w:t>YES</w:t>
            </w:r>
          </w:p>
        </w:tc>
        <w:tc>
          <w:tcPr>
            <w:tcW w:w="1300" w:type="dxa"/>
            <w:vAlign w:val="bottom"/>
            <w:tcBorders>
              <w:bottom w:val="single" w:sz="8" w:color="auto"/>
            </w:tcBorders>
            <w:gridSpan w:val="3"/>
            <w:shd w:val="clear" w:color="auto" w:fill="C5E0B3"/>
          </w:tcPr>
          <w:p>
            <w:pPr>
              <w:jc w:val="center"/>
              <w:spacing w:after="0" w:line="171" w:lineRule="exact"/>
              <w:rPr>
                <w:sz w:val="20"/>
                <w:szCs w:val="20"/>
                <w:color w:val="auto"/>
              </w:rPr>
            </w:pPr>
            <w:r>
              <w:rPr>
                <w:rFonts w:ascii="Arial" w:cs="Arial" w:eastAsia="Arial" w:hAnsi="Arial"/>
                <w:sz w:val="16"/>
                <w:szCs w:val="16"/>
                <w:b w:val="1"/>
                <w:bCs w:val="1"/>
                <w:color w:val="auto"/>
                <w:w w:val="99"/>
              </w:rPr>
              <w:t>YES</w:t>
            </w:r>
          </w:p>
        </w:tc>
        <w:tc>
          <w:tcPr>
            <w:tcW w:w="1100" w:type="dxa"/>
            <w:vAlign w:val="bottom"/>
            <w:tcBorders>
              <w:bottom w:val="single" w:sz="8" w:color="auto"/>
            </w:tcBorders>
            <w:gridSpan w:val="3"/>
            <w:shd w:val="clear" w:color="auto" w:fill="C5E0B3"/>
          </w:tcPr>
          <w:p>
            <w:pPr>
              <w:jc w:val="center"/>
              <w:ind w:right="20"/>
              <w:spacing w:after="0" w:line="171" w:lineRule="exact"/>
              <w:rPr>
                <w:sz w:val="20"/>
                <w:szCs w:val="20"/>
                <w:color w:val="auto"/>
              </w:rPr>
            </w:pPr>
            <w:r>
              <w:rPr>
                <w:rFonts w:ascii="Arial" w:cs="Arial" w:eastAsia="Arial" w:hAnsi="Arial"/>
                <w:sz w:val="16"/>
                <w:szCs w:val="16"/>
                <w:b w:val="1"/>
                <w:bCs w:val="1"/>
                <w:color w:val="auto"/>
                <w:w w:val="99"/>
              </w:rPr>
              <w:t>YES</w:t>
            </w:r>
          </w:p>
        </w:tc>
        <w:tc>
          <w:tcPr>
            <w:tcW w:w="400" w:type="dxa"/>
            <w:vAlign w:val="bottom"/>
            <w:tcBorders>
              <w:bottom w:val="single" w:sz="8" w:color="auto"/>
            </w:tcBorders>
            <w:shd w:val="clear" w:color="auto" w:fill="C5E0B3"/>
          </w:tcPr>
          <w:p>
            <w:pPr>
              <w:spacing w:after="0"/>
              <w:rPr>
                <w:sz w:val="18"/>
                <w:szCs w:val="18"/>
                <w:color w:val="auto"/>
              </w:rPr>
            </w:pPr>
          </w:p>
        </w:tc>
        <w:tc>
          <w:tcPr>
            <w:tcW w:w="740" w:type="dxa"/>
            <w:vAlign w:val="bottom"/>
            <w:tcBorders>
              <w:bottom w:val="single" w:sz="8" w:color="auto"/>
            </w:tcBorders>
            <w:gridSpan w:val="2"/>
            <w:shd w:val="clear" w:color="auto" w:fill="C5E0B3"/>
          </w:tcPr>
          <w:p>
            <w:pPr>
              <w:jc w:val="center"/>
              <w:ind w:right="440"/>
              <w:spacing w:after="0" w:line="171" w:lineRule="exact"/>
              <w:rPr>
                <w:sz w:val="20"/>
                <w:szCs w:val="20"/>
                <w:color w:val="auto"/>
              </w:rPr>
            </w:pPr>
            <w:r>
              <w:rPr>
                <w:rFonts w:ascii="Arial" w:cs="Arial" w:eastAsia="Arial" w:hAnsi="Arial"/>
                <w:sz w:val="16"/>
                <w:szCs w:val="16"/>
                <w:b w:val="1"/>
                <w:bCs w:val="1"/>
                <w:color w:val="auto"/>
                <w:w w:val="93"/>
              </w:rPr>
              <w:t>X</w:t>
            </w:r>
          </w:p>
        </w:tc>
        <w:tc>
          <w:tcPr>
            <w:tcW w:w="360" w:type="dxa"/>
            <w:vAlign w:val="bottom"/>
            <w:tcBorders>
              <w:bottom w:val="single" w:sz="8" w:color="auto"/>
            </w:tcBorders>
            <w:shd w:val="clear" w:color="auto" w:fill="C5E0B3"/>
          </w:tcPr>
          <w:p>
            <w:pPr>
              <w:spacing w:after="0"/>
              <w:rPr>
                <w:sz w:val="18"/>
                <w:szCs w:val="18"/>
                <w:color w:val="auto"/>
              </w:rPr>
            </w:pPr>
          </w:p>
        </w:tc>
        <w:tc>
          <w:tcPr>
            <w:tcW w:w="660" w:type="dxa"/>
            <w:vAlign w:val="bottom"/>
            <w:tcBorders>
              <w:bottom w:val="single" w:sz="8" w:color="auto"/>
            </w:tcBorders>
            <w:gridSpan w:val="2"/>
            <w:shd w:val="clear" w:color="auto" w:fill="C5E0B3"/>
          </w:tcPr>
          <w:p>
            <w:pPr>
              <w:jc w:val="center"/>
              <w:ind w:right="340"/>
              <w:spacing w:after="0" w:line="171" w:lineRule="exact"/>
              <w:rPr>
                <w:sz w:val="20"/>
                <w:szCs w:val="20"/>
                <w:color w:val="auto"/>
              </w:rPr>
            </w:pPr>
            <w:r>
              <w:rPr>
                <w:rFonts w:ascii="Arial" w:cs="Arial" w:eastAsia="Arial" w:hAnsi="Arial"/>
                <w:sz w:val="16"/>
                <w:szCs w:val="16"/>
                <w:b w:val="1"/>
                <w:bCs w:val="1"/>
                <w:color w:val="auto"/>
              </w:rPr>
              <w:t>X</w:t>
            </w:r>
          </w:p>
        </w:tc>
        <w:tc>
          <w:tcPr>
            <w:tcW w:w="520" w:type="dxa"/>
            <w:vAlign w:val="bottom"/>
            <w:tcBorders>
              <w:bottom w:val="single" w:sz="8" w:color="auto"/>
            </w:tcBorders>
            <w:shd w:val="clear" w:color="auto" w:fill="C5E0B3"/>
          </w:tcPr>
          <w:p>
            <w:pPr>
              <w:spacing w:after="0"/>
              <w:rPr>
                <w:sz w:val="18"/>
                <w:szCs w:val="18"/>
                <w:color w:val="auto"/>
              </w:rPr>
            </w:pPr>
          </w:p>
        </w:tc>
        <w:tc>
          <w:tcPr>
            <w:tcW w:w="820" w:type="dxa"/>
            <w:vAlign w:val="bottom"/>
            <w:tcBorders>
              <w:bottom w:val="single" w:sz="8" w:color="auto"/>
            </w:tcBorders>
            <w:gridSpan w:val="2"/>
            <w:shd w:val="clear" w:color="auto" w:fill="C5E0B3"/>
          </w:tcPr>
          <w:p>
            <w:pPr>
              <w:jc w:val="center"/>
              <w:ind w:right="500"/>
              <w:spacing w:after="0" w:line="171" w:lineRule="exact"/>
              <w:rPr>
                <w:sz w:val="20"/>
                <w:szCs w:val="20"/>
                <w:color w:val="auto"/>
              </w:rPr>
            </w:pPr>
            <w:r>
              <w:rPr>
                <w:rFonts w:ascii="Arial" w:cs="Arial" w:eastAsia="Arial" w:hAnsi="Arial"/>
                <w:sz w:val="16"/>
                <w:szCs w:val="16"/>
                <w:b w:val="1"/>
                <w:bCs w:val="1"/>
                <w:color w:val="auto"/>
              </w:rPr>
              <w:t>X</w:t>
            </w:r>
          </w:p>
        </w:tc>
        <w:tc>
          <w:tcPr>
            <w:tcW w:w="340" w:type="dxa"/>
            <w:vAlign w:val="bottom"/>
            <w:tcBorders>
              <w:bottom w:val="single" w:sz="8" w:color="auto"/>
            </w:tcBorders>
            <w:shd w:val="clear" w:color="auto" w:fill="C5E0B3"/>
          </w:tcPr>
          <w:p>
            <w:pPr>
              <w:spacing w:after="0"/>
              <w:rPr>
                <w:sz w:val="18"/>
                <w:szCs w:val="18"/>
                <w:color w:val="auto"/>
              </w:rPr>
            </w:pPr>
          </w:p>
        </w:tc>
        <w:tc>
          <w:tcPr>
            <w:tcW w:w="780" w:type="dxa"/>
            <w:vAlign w:val="bottom"/>
            <w:tcBorders>
              <w:bottom w:val="single" w:sz="8" w:color="auto"/>
            </w:tcBorders>
            <w:gridSpan w:val="4"/>
            <w:shd w:val="clear" w:color="auto" w:fill="C5E0B3"/>
          </w:tcPr>
          <w:p>
            <w:pPr>
              <w:jc w:val="center"/>
              <w:ind w:right="380"/>
              <w:spacing w:after="0" w:line="171" w:lineRule="exact"/>
              <w:rPr>
                <w:sz w:val="20"/>
                <w:szCs w:val="20"/>
                <w:color w:val="auto"/>
              </w:rPr>
            </w:pPr>
            <w:r>
              <w:rPr>
                <w:rFonts w:ascii="Arial" w:cs="Arial" w:eastAsia="Arial" w:hAnsi="Arial"/>
                <w:sz w:val="16"/>
                <w:szCs w:val="16"/>
                <w:b w:val="1"/>
                <w:bCs w:val="1"/>
                <w:color w:val="auto"/>
                <w:w w:val="99"/>
              </w:rPr>
              <w:t>YES</w:t>
            </w:r>
          </w:p>
        </w:tc>
        <w:tc>
          <w:tcPr>
            <w:tcW w:w="360" w:type="dxa"/>
            <w:vAlign w:val="bottom"/>
            <w:tcBorders>
              <w:bottom w:val="single" w:sz="8" w:color="auto"/>
            </w:tcBorders>
            <w:shd w:val="clear" w:color="auto" w:fill="C5E0B3"/>
          </w:tcPr>
          <w:p>
            <w:pPr>
              <w:spacing w:after="0"/>
              <w:rPr>
                <w:sz w:val="18"/>
                <w:szCs w:val="18"/>
                <w:color w:val="auto"/>
              </w:rPr>
            </w:pPr>
          </w:p>
        </w:tc>
        <w:tc>
          <w:tcPr>
            <w:tcW w:w="720" w:type="dxa"/>
            <w:vAlign w:val="bottom"/>
            <w:tcBorders>
              <w:bottom w:val="single" w:sz="8" w:color="auto"/>
            </w:tcBorders>
            <w:gridSpan w:val="2"/>
            <w:shd w:val="clear" w:color="auto" w:fill="C5E0B3"/>
          </w:tcPr>
          <w:p>
            <w:pPr>
              <w:jc w:val="center"/>
              <w:ind w:right="400"/>
              <w:spacing w:after="0" w:line="171" w:lineRule="exact"/>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0" w:type="dxa"/>
            <w:vAlign w:val="bottom"/>
            <w:shd w:val="clear" w:color="auto" w:fill="C5E0B3"/>
          </w:tcPr>
          <w:p>
            <w:pPr>
              <w:jc w:val="center"/>
              <w:spacing w:after="0"/>
              <w:rPr>
                <w:sz w:val="20"/>
                <w:szCs w:val="20"/>
                <w:color w:val="auto"/>
              </w:rPr>
            </w:pPr>
            <w:r>
              <w:rPr>
                <w:rFonts w:ascii="Arial" w:cs="Arial" w:eastAsia="Arial" w:hAnsi="Arial"/>
                <w:sz w:val="13"/>
                <w:szCs w:val="13"/>
                <w:b w:val="1"/>
                <w:bCs w:val="1"/>
                <w:color w:val="auto"/>
                <w:w w:val="87"/>
              </w:rPr>
              <w:t>Liesl</w:t>
            </w:r>
          </w:p>
        </w:tc>
        <w:tc>
          <w:tcPr>
            <w:tcW w:w="300" w:type="dxa"/>
            <w:vAlign w:val="bottom"/>
            <w:shd w:val="clear" w:color="auto" w:fill="C5E0B3"/>
          </w:tcPr>
          <w:p>
            <w:pPr>
              <w:spacing w:after="0"/>
              <w:rPr>
                <w:sz w:val="13"/>
                <w:szCs w:val="13"/>
                <w:color w:val="auto"/>
              </w:rPr>
            </w:pPr>
          </w:p>
        </w:tc>
        <w:tc>
          <w:tcPr>
            <w:tcW w:w="620" w:type="dxa"/>
            <w:vAlign w:val="bottom"/>
            <w:gridSpan w:val="2"/>
            <w:vMerge w:val="restart"/>
            <w:shd w:val="clear" w:color="auto" w:fill="C5E0B3"/>
          </w:tcPr>
          <w:p>
            <w:pPr>
              <w:jc w:val="center"/>
              <w:ind w:right="300"/>
              <w:spacing w:after="0"/>
              <w:rPr>
                <w:sz w:val="20"/>
                <w:szCs w:val="20"/>
                <w:color w:val="auto"/>
              </w:rPr>
            </w:pPr>
            <w:r>
              <w:rPr>
                <w:rFonts w:ascii="Arial" w:cs="Arial" w:eastAsia="Arial" w:hAnsi="Arial"/>
                <w:sz w:val="16"/>
                <w:szCs w:val="16"/>
                <w:b w:val="1"/>
                <w:bCs w:val="1"/>
                <w:color w:val="auto"/>
              </w:rPr>
              <w:t>X</w:t>
            </w:r>
          </w:p>
        </w:tc>
        <w:tc>
          <w:tcPr>
            <w:tcW w:w="340" w:type="dxa"/>
            <w:vAlign w:val="bottom"/>
            <w:shd w:val="clear" w:color="auto" w:fill="C5E0B3"/>
          </w:tcPr>
          <w:p>
            <w:pPr>
              <w:spacing w:after="0"/>
              <w:rPr>
                <w:sz w:val="13"/>
                <w:szCs w:val="13"/>
                <w:color w:val="auto"/>
              </w:rPr>
            </w:pPr>
          </w:p>
        </w:tc>
        <w:tc>
          <w:tcPr>
            <w:tcW w:w="660" w:type="dxa"/>
            <w:vAlign w:val="bottom"/>
            <w:gridSpan w:val="2"/>
            <w:vMerge w:val="restart"/>
            <w:shd w:val="clear" w:color="auto" w:fill="C5E0B3"/>
          </w:tcPr>
          <w:p>
            <w:pPr>
              <w:jc w:val="center"/>
              <w:ind w:right="340"/>
              <w:spacing w:after="0"/>
              <w:rPr>
                <w:sz w:val="20"/>
                <w:szCs w:val="20"/>
                <w:color w:val="auto"/>
              </w:rPr>
            </w:pPr>
            <w:r>
              <w:rPr>
                <w:rFonts w:ascii="Arial" w:cs="Arial" w:eastAsia="Arial" w:hAnsi="Arial"/>
                <w:sz w:val="16"/>
                <w:szCs w:val="16"/>
                <w:b w:val="1"/>
                <w:bCs w:val="1"/>
                <w:color w:val="auto"/>
              </w:rPr>
              <w:t>X</w:t>
            </w:r>
          </w:p>
        </w:tc>
        <w:tc>
          <w:tcPr>
            <w:tcW w:w="500" w:type="dxa"/>
            <w:vAlign w:val="bottom"/>
            <w:shd w:val="clear" w:color="auto" w:fill="C5E0B3"/>
          </w:tcPr>
          <w:p>
            <w:pPr>
              <w:spacing w:after="0"/>
              <w:rPr>
                <w:sz w:val="13"/>
                <w:szCs w:val="13"/>
                <w:color w:val="auto"/>
              </w:rPr>
            </w:pPr>
          </w:p>
        </w:tc>
        <w:tc>
          <w:tcPr>
            <w:tcW w:w="800" w:type="dxa"/>
            <w:vAlign w:val="bottom"/>
            <w:gridSpan w:val="2"/>
            <w:vMerge w:val="restart"/>
            <w:shd w:val="clear" w:color="auto" w:fill="C5E0B3"/>
          </w:tcPr>
          <w:p>
            <w:pPr>
              <w:jc w:val="center"/>
              <w:ind w:right="480"/>
              <w:spacing w:after="0"/>
              <w:rPr>
                <w:sz w:val="20"/>
                <w:szCs w:val="20"/>
                <w:color w:val="auto"/>
              </w:rPr>
            </w:pPr>
            <w:r>
              <w:rPr>
                <w:rFonts w:ascii="Arial" w:cs="Arial" w:eastAsia="Arial" w:hAnsi="Arial"/>
                <w:sz w:val="16"/>
                <w:szCs w:val="16"/>
                <w:b w:val="1"/>
                <w:bCs w:val="1"/>
                <w:color w:val="auto"/>
              </w:rPr>
              <w:t>X</w:t>
            </w:r>
          </w:p>
        </w:tc>
        <w:tc>
          <w:tcPr>
            <w:tcW w:w="1100" w:type="dxa"/>
            <w:vAlign w:val="bottom"/>
            <w:gridSpan w:val="3"/>
            <w:vMerge w:val="restart"/>
            <w:shd w:val="clear" w:color="auto" w:fill="C5E0B3"/>
          </w:tcPr>
          <w:p>
            <w:pPr>
              <w:jc w:val="center"/>
              <w:ind w:right="20"/>
              <w:spacing w:after="0"/>
              <w:rPr>
                <w:sz w:val="20"/>
                <w:szCs w:val="20"/>
                <w:color w:val="auto"/>
              </w:rPr>
            </w:pPr>
            <w:r>
              <w:rPr>
                <w:rFonts w:ascii="Arial" w:cs="Arial" w:eastAsia="Arial" w:hAnsi="Arial"/>
                <w:sz w:val="16"/>
                <w:szCs w:val="16"/>
                <w:b w:val="1"/>
                <w:bCs w:val="1"/>
                <w:color w:val="auto"/>
                <w:w w:val="99"/>
              </w:rPr>
              <w:t>YES</w:t>
            </w:r>
          </w:p>
        </w:tc>
        <w:tc>
          <w:tcPr>
            <w:tcW w:w="1140" w:type="dxa"/>
            <w:vAlign w:val="bottom"/>
            <w:gridSpan w:val="3"/>
            <w:vMerge w:val="restart"/>
            <w:shd w:val="clear" w:color="auto" w:fill="C5E0B3"/>
          </w:tcPr>
          <w:p>
            <w:pPr>
              <w:jc w:val="center"/>
              <w:ind w:right="40"/>
              <w:spacing w:after="0"/>
              <w:rPr>
                <w:sz w:val="20"/>
                <w:szCs w:val="20"/>
                <w:color w:val="auto"/>
              </w:rPr>
            </w:pPr>
            <w:r>
              <w:rPr>
                <w:rFonts w:ascii="Arial" w:cs="Arial" w:eastAsia="Arial" w:hAnsi="Arial"/>
                <w:sz w:val="16"/>
                <w:szCs w:val="16"/>
                <w:b w:val="1"/>
                <w:bCs w:val="1"/>
                <w:color w:val="auto"/>
                <w:w w:val="93"/>
              </w:rPr>
              <w:t>YES</w:t>
            </w:r>
          </w:p>
        </w:tc>
        <w:tc>
          <w:tcPr>
            <w:tcW w:w="360" w:type="dxa"/>
            <w:vAlign w:val="bottom"/>
            <w:shd w:val="clear" w:color="auto" w:fill="C5E0B3"/>
          </w:tcPr>
          <w:p>
            <w:pPr>
              <w:spacing w:after="0"/>
              <w:rPr>
                <w:sz w:val="13"/>
                <w:szCs w:val="13"/>
                <w:color w:val="auto"/>
              </w:rPr>
            </w:pPr>
          </w:p>
        </w:tc>
        <w:tc>
          <w:tcPr>
            <w:tcW w:w="660" w:type="dxa"/>
            <w:vAlign w:val="bottom"/>
            <w:gridSpan w:val="2"/>
            <w:vMerge w:val="restart"/>
            <w:shd w:val="clear" w:color="auto" w:fill="C5E0B3"/>
          </w:tcPr>
          <w:p>
            <w:pPr>
              <w:jc w:val="center"/>
              <w:ind w:right="340"/>
              <w:spacing w:after="0"/>
              <w:rPr>
                <w:sz w:val="20"/>
                <w:szCs w:val="20"/>
                <w:color w:val="auto"/>
              </w:rPr>
            </w:pPr>
            <w:r>
              <w:rPr>
                <w:rFonts w:ascii="Arial" w:cs="Arial" w:eastAsia="Arial" w:hAnsi="Arial"/>
                <w:sz w:val="16"/>
                <w:szCs w:val="16"/>
                <w:b w:val="1"/>
                <w:bCs w:val="1"/>
                <w:color w:val="auto"/>
                <w:w w:val="99"/>
              </w:rPr>
              <w:t>YES</w:t>
            </w:r>
          </w:p>
        </w:tc>
        <w:tc>
          <w:tcPr>
            <w:tcW w:w="520" w:type="dxa"/>
            <w:vAlign w:val="bottom"/>
            <w:shd w:val="clear" w:color="auto" w:fill="C5E0B3"/>
          </w:tcPr>
          <w:p>
            <w:pPr>
              <w:spacing w:after="0"/>
              <w:rPr>
                <w:sz w:val="13"/>
                <w:szCs w:val="13"/>
                <w:color w:val="auto"/>
              </w:rPr>
            </w:pPr>
          </w:p>
        </w:tc>
        <w:tc>
          <w:tcPr>
            <w:tcW w:w="820" w:type="dxa"/>
            <w:vAlign w:val="bottom"/>
            <w:gridSpan w:val="2"/>
            <w:vMerge w:val="restart"/>
            <w:shd w:val="clear" w:color="auto" w:fill="C5E0B3"/>
          </w:tcPr>
          <w:p>
            <w:pPr>
              <w:jc w:val="center"/>
              <w:ind w:right="500"/>
              <w:spacing w:after="0"/>
              <w:rPr>
                <w:sz w:val="20"/>
                <w:szCs w:val="20"/>
                <w:color w:val="auto"/>
              </w:rPr>
            </w:pPr>
            <w:r>
              <w:rPr>
                <w:rFonts w:ascii="Arial" w:cs="Arial" w:eastAsia="Arial" w:hAnsi="Arial"/>
                <w:sz w:val="16"/>
                <w:szCs w:val="16"/>
                <w:b w:val="1"/>
                <w:bCs w:val="1"/>
                <w:color w:val="auto"/>
                <w:w w:val="99"/>
              </w:rPr>
              <w:t>YES</w:t>
            </w:r>
          </w:p>
        </w:tc>
        <w:tc>
          <w:tcPr>
            <w:tcW w:w="340" w:type="dxa"/>
            <w:vAlign w:val="bottom"/>
            <w:shd w:val="clear" w:color="auto" w:fill="C5E0B3"/>
          </w:tcPr>
          <w:p>
            <w:pPr>
              <w:spacing w:after="0"/>
              <w:rPr>
                <w:sz w:val="13"/>
                <w:szCs w:val="13"/>
                <w:color w:val="auto"/>
              </w:rPr>
            </w:pPr>
          </w:p>
        </w:tc>
        <w:tc>
          <w:tcPr>
            <w:tcW w:w="40" w:type="dxa"/>
            <w:vAlign w:val="bottom"/>
            <w:shd w:val="clear" w:color="auto" w:fill="C5E0B3"/>
          </w:tcPr>
          <w:p>
            <w:pPr>
              <w:spacing w:after="0"/>
              <w:rPr>
                <w:sz w:val="13"/>
                <w:szCs w:val="13"/>
                <w:color w:val="auto"/>
              </w:rPr>
            </w:pPr>
          </w:p>
        </w:tc>
        <w:tc>
          <w:tcPr>
            <w:tcW w:w="740" w:type="dxa"/>
            <w:vAlign w:val="bottom"/>
            <w:gridSpan w:val="3"/>
            <w:vMerge w:val="restart"/>
            <w:shd w:val="clear" w:color="auto" w:fill="C5E0B3"/>
          </w:tcPr>
          <w:p>
            <w:pPr>
              <w:jc w:val="center"/>
              <w:ind w:right="420"/>
              <w:spacing w:after="0"/>
              <w:rPr>
                <w:sz w:val="20"/>
                <w:szCs w:val="20"/>
                <w:color w:val="auto"/>
              </w:rPr>
            </w:pPr>
            <w:r>
              <w:rPr>
                <w:rFonts w:ascii="Arial" w:cs="Arial" w:eastAsia="Arial" w:hAnsi="Arial"/>
                <w:sz w:val="16"/>
                <w:szCs w:val="16"/>
                <w:b w:val="1"/>
                <w:bCs w:val="1"/>
                <w:color w:val="auto"/>
              </w:rPr>
              <w:t>X</w:t>
            </w:r>
          </w:p>
        </w:tc>
        <w:tc>
          <w:tcPr>
            <w:tcW w:w="360" w:type="dxa"/>
            <w:vAlign w:val="bottom"/>
            <w:shd w:val="clear" w:color="auto" w:fill="C5E0B3"/>
          </w:tcPr>
          <w:p>
            <w:pPr>
              <w:spacing w:after="0"/>
              <w:rPr>
                <w:sz w:val="13"/>
                <w:szCs w:val="13"/>
                <w:color w:val="auto"/>
              </w:rPr>
            </w:pPr>
          </w:p>
        </w:tc>
        <w:tc>
          <w:tcPr>
            <w:tcW w:w="720" w:type="dxa"/>
            <w:vAlign w:val="bottom"/>
            <w:gridSpan w:val="2"/>
            <w:vMerge w:val="restart"/>
            <w:shd w:val="clear" w:color="auto" w:fill="C5E0B3"/>
          </w:tcPr>
          <w:p>
            <w:pPr>
              <w:jc w:val="center"/>
              <w:ind w:right="400"/>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200" w:type="dxa"/>
            <w:vAlign w:val="bottom"/>
            <w:vMerge w:val="restart"/>
            <w:shd w:val="clear" w:color="auto" w:fill="C5E0B3"/>
          </w:tcPr>
          <w:p>
            <w:pPr>
              <w:jc w:val="center"/>
              <w:spacing w:after="0"/>
              <w:rPr>
                <w:sz w:val="20"/>
                <w:szCs w:val="20"/>
                <w:color w:val="auto"/>
              </w:rPr>
            </w:pPr>
            <w:r>
              <w:rPr>
                <w:rFonts w:ascii="Arial" w:cs="Arial" w:eastAsia="Arial" w:hAnsi="Arial"/>
                <w:sz w:val="13"/>
                <w:szCs w:val="13"/>
                <w:b w:val="1"/>
                <w:bCs w:val="1"/>
                <w:color w:val="auto"/>
                <w:w w:val="90"/>
              </w:rPr>
              <w:t>Hickey</w:t>
            </w:r>
          </w:p>
        </w:tc>
        <w:tc>
          <w:tcPr>
            <w:tcW w:w="300" w:type="dxa"/>
            <w:vAlign w:val="bottom"/>
            <w:shd w:val="clear" w:color="auto" w:fill="C5E0B3"/>
          </w:tcPr>
          <w:p>
            <w:pPr>
              <w:spacing w:after="0"/>
              <w:rPr>
                <w:sz w:val="6"/>
                <w:szCs w:val="6"/>
                <w:color w:val="auto"/>
              </w:rPr>
            </w:pPr>
          </w:p>
        </w:tc>
        <w:tc>
          <w:tcPr>
            <w:tcW w:w="620" w:type="dxa"/>
            <w:vAlign w:val="bottom"/>
            <w:gridSpan w:val="2"/>
            <w:vMerge w:val="continue"/>
            <w:shd w:val="clear" w:color="auto" w:fill="C5E0B3"/>
          </w:tcPr>
          <w:p>
            <w:pPr>
              <w:spacing w:after="0"/>
              <w:rPr>
                <w:sz w:val="6"/>
                <w:szCs w:val="6"/>
                <w:color w:val="auto"/>
              </w:rPr>
            </w:pPr>
          </w:p>
        </w:tc>
        <w:tc>
          <w:tcPr>
            <w:tcW w:w="340" w:type="dxa"/>
            <w:vAlign w:val="bottom"/>
            <w:shd w:val="clear" w:color="auto" w:fill="C5E0B3"/>
          </w:tcPr>
          <w:p>
            <w:pPr>
              <w:spacing w:after="0"/>
              <w:rPr>
                <w:sz w:val="6"/>
                <w:szCs w:val="6"/>
                <w:color w:val="auto"/>
              </w:rPr>
            </w:pPr>
          </w:p>
        </w:tc>
        <w:tc>
          <w:tcPr>
            <w:tcW w:w="660" w:type="dxa"/>
            <w:vAlign w:val="bottom"/>
            <w:gridSpan w:val="2"/>
            <w:vMerge w:val="continue"/>
            <w:shd w:val="clear" w:color="auto" w:fill="C5E0B3"/>
          </w:tcPr>
          <w:p>
            <w:pPr>
              <w:spacing w:after="0"/>
              <w:rPr>
                <w:sz w:val="6"/>
                <w:szCs w:val="6"/>
                <w:color w:val="auto"/>
              </w:rPr>
            </w:pPr>
          </w:p>
        </w:tc>
        <w:tc>
          <w:tcPr>
            <w:tcW w:w="500" w:type="dxa"/>
            <w:vAlign w:val="bottom"/>
            <w:shd w:val="clear" w:color="auto" w:fill="C5E0B3"/>
          </w:tcPr>
          <w:p>
            <w:pPr>
              <w:spacing w:after="0"/>
              <w:rPr>
                <w:sz w:val="6"/>
                <w:szCs w:val="6"/>
                <w:color w:val="auto"/>
              </w:rPr>
            </w:pPr>
          </w:p>
        </w:tc>
        <w:tc>
          <w:tcPr>
            <w:tcW w:w="800" w:type="dxa"/>
            <w:vAlign w:val="bottom"/>
            <w:gridSpan w:val="2"/>
            <w:vMerge w:val="continue"/>
            <w:shd w:val="clear" w:color="auto" w:fill="C5E0B3"/>
          </w:tcPr>
          <w:p>
            <w:pPr>
              <w:spacing w:after="0"/>
              <w:rPr>
                <w:sz w:val="6"/>
                <w:szCs w:val="6"/>
                <w:color w:val="auto"/>
              </w:rPr>
            </w:pPr>
          </w:p>
        </w:tc>
        <w:tc>
          <w:tcPr>
            <w:tcW w:w="1100" w:type="dxa"/>
            <w:vAlign w:val="bottom"/>
            <w:gridSpan w:val="3"/>
            <w:vMerge w:val="continue"/>
            <w:shd w:val="clear" w:color="auto" w:fill="C5E0B3"/>
          </w:tcPr>
          <w:p>
            <w:pPr>
              <w:spacing w:after="0"/>
              <w:rPr>
                <w:sz w:val="6"/>
                <w:szCs w:val="6"/>
                <w:color w:val="auto"/>
              </w:rPr>
            </w:pPr>
          </w:p>
        </w:tc>
        <w:tc>
          <w:tcPr>
            <w:tcW w:w="1140" w:type="dxa"/>
            <w:vAlign w:val="bottom"/>
            <w:gridSpan w:val="3"/>
            <w:vMerge w:val="continue"/>
            <w:shd w:val="clear" w:color="auto" w:fill="C5E0B3"/>
          </w:tcPr>
          <w:p>
            <w:pPr>
              <w:spacing w:after="0"/>
              <w:rPr>
                <w:sz w:val="6"/>
                <w:szCs w:val="6"/>
                <w:color w:val="auto"/>
              </w:rPr>
            </w:pPr>
          </w:p>
        </w:tc>
        <w:tc>
          <w:tcPr>
            <w:tcW w:w="360" w:type="dxa"/>
            <w:vAlign w:val="bottom"/>
            <w:shd w:val="clear" w:color="auto" w:fill="C5E0B3"/>
          </w:tcPr>
          <w:p>
            <w:pPr>
              <w:spacing w:after="0"/>
              <w:rPr>
                <w:sz w:val="6"/>
                <w:szCs w:val="6"/>
                <w:color w:val="auto"/>
              </w:rPr>
            </w:pPr>
          </w:p>
        </w:tc>
        <w:tc>
          <w:tcPr>
            <w:tcW w:w="660" w:type="dxa"/>
            <w:vAlign w:val="bottom"/>
            <w:gridSpan w:val="2"/>
            <w:vMerge w:val="continue"/>
            <w:shd w:val="clear" w:color="auto" w:fill="C5E0B3"/>
          </w:tcPr>
          <w:p>
            <w:pPr>
              <w:spacing w:after="0"/>
              <w:rPr>
                <w:sz w:val="6"/>
                <w:szCs w:val="6"/>
                <w:color w:val="auto"/>
              </w:rPr>
            </w:pPr>
          </w:p>
        </w:tc>
        <w:tc>
          <w:tcPr>
            <w:tcW w:w="520" w:type="dxa"/>
            <w:vAlign w:val="bottom"/>
            <w:shd w:val="clear" w:color="auto" w:fill="C5E0B3"/>
          </w:tcPr>
          <w:p>
            <w:pPr>
              <w:spacing w:after="0"/>
              <w:rPr>
                <w:sz w:val="6"/>
                <w:szCs w:val="6"/>
                <w:color w:val="auto"/>
              </w:rPr>
            </w:pPr>
          </w:p>
        </w:tc>
        <w:tc>
          <w:tcPr>
            <w:tcW w:w="820" w:type="dxa"/>
            <w:vAlign w:val="bottom"/>
            <w:gridSpan w:val="2"/>
            <w:vMerge w:val="continue"/>
            <w:shd w:val="clear" w:color="auto" w:fill="C5E0B3"/>
          </w:tcPr>
          <w:p>
            <w:pPr>
              <w:spacing w:after="0"/>
              <w:rPr>
                <w:sz w:val="6"/>
                <w:szCs w:val="6"/>
                <w:color w:val="auto"/>
              </w:rPr>
            </w:pPr>
          </w:p>
        </w:tc>
        <w:tc>
          <w:tcPr>
            <w:tcW w:w="340" w:type="dxa"/>
            <w:vAlign w:val="bottom"/>
            <w:shd w:val="clear" w:color="auto" w:fill="C5E0B3"/>
          </w:tcPr>
          <w:p>
            <w:pPr>
              <w:spacing w:after="0"/>
              <w:rPr>
                <w:sz w:val="6"/>
                <w:szCs w:val="6"/>
                <w:color w:val="auto"/>
              </w:rPr>
            </w:pPr>
          </w:p>
        </w:tc>
        <w:tc>
          <w:tcPr>
            <w:tcW w:w="40" w:type="dxa"/>
            <w:vAlign w:val="bottom"/>
            <w:shd w:val="clear" w:color="auto" w:fill="C5E0B3"/>
          </w:tcPr>
          <w:p>
            <w:pPr>
              <w:spacing w:after="0"/>
              <w:rPr>
                <w:sz w:val="6"/>
                <w:szCs w:val="6"/>
                <w:color w:val="auto"/>
              </w:rPr>
            </w:pPr>
          </w:p>
        </w:tc>
        <w:tc>
          <w:tcPr>
            <w:tcW w:w="740" w:type="dxa"/>
            <w:vAlign w:val="bottom"/>
            <w:gridSpan w:val="3"/>
            <w:vMerge w:val="continue"/>
            <w:shd w:val="clear" w:color="auto" w:fill="C5E0B3"/>
          </w:tcPr>
          <w:p>
            <w:pPr>
              <w:spacing w:after="0"/>
              <w:rPr>
                <w:sz w:val="6"/>
                <w:szCs w:val="6"/>
                <w:color w:val="auto"/>
              </w:rPr>
            </w:pPr>
          </w:p>
        </w:tc>
        <w:tc>
          <w:tcPr>
            <w:tcW w:w="360" w:type="dxa"/>
            <w:vAlign w:val="bottom"/>
            <w:shd w:val="clear" w:color="auto" w:fill="C5E0B3"/>
          </w:tcPr>
          <w:p>
            <w:pPr>
              <w:spacing w:after="0"/>
              <w:rPr>
                <w:sz w:val="6"/>
                <w:szCs w:val="6"/>
                <w:color w:val="auto"/>
              </w:rPr>
            </w:pPr>
          </w:p>
        </w:tc>
        <w:tc>
          <w:tcPr>
            <w:tcW w:w="720" w:type="dxa"/>
            <w:vAlign w:val="bottom"/>
            <w:gridSpan w:val="2"/>
            <w:vMerge w:val="continue"/>
            <w:shd w:val="clear" w:color="auto" w:fill="C5E0B3"/>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auto"/>
            </w:tcBorders>
          </w:tcPr>
          <w:p>
            <w:pPr>
              <w:spacing w:after="0"/>
              <w:rPr>
                <w:sz w:val="7"/>
                <w:szCs w:val="7"/>
                <w:color w:val="auto"/>
              </w:rPr>
            </w:pPr>
          </w:p>
        </w:tc>
        <w:tc>
          <w:tcPr>
            <w:tcW w:w="1200" w:type="dxa"/>
            <w:vAlign w:val="bottom"/>
            <w:tcBorders>
              <w:top w:val="single" w:sz="8" w:color="C5E0B3"/>
              <w:bottom w:val="single" w:sz="8" w:color="auto"/>
            </w:tcBorders>
            <w:vMerge w:val="continue"/>
            <w:shd w:val="clear" w:color="auto" w:fill="C5E0B3"/>
          </w:tcPr>
          <w:p>
            <w:pPr>
              <w:spacing w:after="0"/>
              <w:rPr>
                <w:sz w:val="7"/>
                <w:szCs w:val="7"/>
                <w:color w:val="auto"/>
              </w:rPr>
            </w:pPr>
          </w:p>
        </w:tc>
        <w:tc>
          <w:tcPr>
            <w:tcW w:w="30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C5E0B3"/>
              <w:bottom w:val="single" w:sz="8" w:color="auto"/>
            </w:tcBorders>
            <w:shd w:val="clear" w:color="auto" w:fill="C5E0B3"/>
          </w:tcPr>
          <w:p>
            <w:pPr>
              <w:spacing w:after="0"/>
              <w:rPr>
                <w:sz w:val="7"/>
                <w:szCs w:val="7"/>
                <w:color w:val="auto"/>
              </w:rPr>
            </w:pPr>
          </w:p>
        </w:tc>
        <w:tc>
          <w:tcPr>
            <w:tcW w:w="300" w:type="dxa"/>
            <w:vAlign w:val="bottom"/>
            <w:tcBorders>
              <w:top w:val="single" w:sz="8" w:color="C5E0B3"/>
              <w:bottom w:val="single" w:sz="8" w:color="auto"/>
            </w:tcBorders>
            <w:shd w:val="clear" w:color="auto" w:fill="C5E0B3"/>
          </w:tcPr>
          <w:p>
            <w:pPr>
              <w:spacing w:after="0"/>
              <w:rPr>
                <w:sz w:val="7"/>
                <w:szCs w:val="7"/>
                <w:color w:val="auto"/>
              </w:rPr>
            </w:pPr>
          </w:p>
        </w:tc>
        <w:tc>
          <w:tcPr>
            <w:tcW w:w="34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C5E0B3"/>
              <w:bottom w:val="single" w:sz="8" w:color="auto"/>
            </w:tcBorders>
            <w:shd w:val="clear" w:color="auto" w:fill="C5E0B3"/>
          </w:tcPr>
          <w:p>
            <w:pPr>
              <w:spacing w:after="0"/>
              <w:rPr>
                <w:sz w:val="7"/>
                <w:szCs w:val="7"/>
                <w:color w:val="auto"/>
              </w:rPr>
            </w:pPr>
          </w:p>
        </w:tc>
        <w:tc>
          <w:tcPr>
            <w:tcW w:w="340" w:type="dxa"/>
            <w:vAlign w:val="bottom"/>
            <w:tcBorders>
              <w:top w:val="single" w:sz="8" w:color="C5E0B3"/>
              <w:bottom w:val="single" w:sz="8" w:color="auto"/>
            </w:tcBorders>
            <w:shd w:val="clear" w:color="auto" w:fill="C5E0B3"/>
          </w:tcPr>
          <w:p>
            <w:pPr>
              <w:spacing w:after="0"/>
              <w:rPr>
                <w:sz w:val="7"/>
                <w:szCs w:val="7"/>
                <w:color w:val="auto"/>
              </w:rPr>
            </w:pPr>
          </w:p>
        </w:tc>
        <w:tc>
          <w:tcPr>
            <w:tcW w:w="50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C5E0B3"/>
              <w:bottom w:val="single" w:sz="8" w:color="auto"/>
            </w:tcBorders>
            <w:shd w:val="clear" w:color="auto" w:fill="C5E0B3"/>
          </w:tcPr>
          <w:p>
            <w:pPr>
              <w:spacing w:after="0"/>
              <w:rPr>
                <w:sz w:val="7"/>
                <w:szCs w:val="7"/>
                <w:color w:val="auto"/>
              </w:rPr>
            </w:pPr>
          </w:p>
        </w:tc>
        <w:tc>
          <w:tcPr>
            <w:tcW w:w="480" w:type="dxa"/>
            <w:vAlign w:val="bottom"/>
            <w:tcBorders>
              <w:top w:val="single" w:sz="8" w:color="C5E0B3"/>
              <w:bottom w:val="single" w:sz="8" w:color="auto"/>
            </w:tcBorders>
            <w:shd w:val="clear" w:color="auto" w:fill="C5E0B3"/>
          </w:tcPr>
          <w:p>
            <w:pPr>
              <w:spacing w:after="0"/>
              <w:rPr>
                <w:sz w:val="7"/>
                <w:szCs w:val="7"/>
                <w:color w:val="auto"/>
              </w:rPr>
            </w:pPr>
          </w:p>
        </w:tc>
        <w:tc>
          <w:tcPr>
            <w:tcW w:w="38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auto"/>
              <w:bottom w:val="single" w:sz="8" w:color="auto"/>
            </w:tcBorders>
            <w:shd w:val="clear" w:color="auto" w:fill="C5E0B3"/>
          </w:tcPr>
          <w:p>
            <w:pPr>
              <w:spacing w:after="0"/>
              <w:rPr>
                <w:sz w:val="7"/>
                <w:szCs w:val="7"/>
                <w:color w:val="auto"/>
              </w:rPr>
            </w:pPr>
          </w:p>
        </w:tc>
        <w:tc>
          <w:tcPr>
            <w:tcW w:w="400" w:type="dxa"/>
            <w:vAlign w:val="bottom"/>
            <w:tcBorders>
              <w:top w:val="single" w:sz="8" w:color="C5E0B3"/>
              <w:bottom w:val="single" w:sz="8" w:color="auto"/>
            </w:tcBorders>
            <w:shd w:val="clear" w:color="auto" w:fill="C5E0B3"/>
          </w:tcPr>
          <w:p>
            <w:pPr>
              <w:spacing w:after="0"/>
              <w:rPr>
                <w:sz w:val="7"/>
                <w:szCs w:val="7"/>
                <w:color w:val="auto"/>
              </w:rPr>
            </w:pPr>
          </w:p>
        </w:tc>
        <w:tc>
          <w:tcPr>
            <w:tcW w:w="400" w:type="dxa"/>
            <w:vAlign w:val="bottom"/>
            <w:tcBorders>
              <w:top w:val="single" w:sz="8" w:color="C5E0B3"/>
              <w:bottom w:val="single" w:sz="8" w:color="auto"/>
            </w:tcBorders>
            <w:shd w:val="clear" w:color="auto" w:fill="C5E0B3"/>
          </w:tcPr>
          <w:p>
            <w:pPr>
              <w:spacing w:after="0"/>
              <w:rPr>
                <w:sz w:val="7"/>
                <w:szCs w:val="7"/>
                <w:color w:val="auto"/>
              </w:rPr>
            </w:pPr>
          </w:p>
        </w:tc>
        <w:tc>
          <w:tcPr>
            <w:tcW w:w="300" w:type="dxa"/>
            <w:vAlign w:val="bottom"/>
            <w:tcBorders>
              <w:top w:val="single" w:sz="8" w:color="auto"/>
              <w:bottom w:val="single" w:sz="8" w:color="auto"/>
            </w:tcBorders>
            <w:shd w:val="clear" w:color="auto" w:fill="C5E0B3"/>
          </w:tcPr>
          <w:p>
            <w:pPr>
              <w:spacing w:after="0"/>
              <w:rPr>
                <w:sz w:val="7"/>
                <w:szCs w:val="7"/>
                <w:color w:val="auto"/>
              </w:rPr>
            </w:pPr>
          </w:p>
        </w:tc>
        <w:tc>
          <w:tcPr>
            <w:tcW w:w="440" w:type="dxa"/>
            <w:vAlign w:val="bottom"/>
            <w:tcBorders>
              <w:top w:val="single" w:sz="8" w:color="C5E0B3"/>
              <w:bottom w:val="single" w:sz="8" w:color="auto"/>
            </w:tcBorders>
            <w:shd w:val="clear" w:color="auto" w:fill="C5E0B3"/>
          </w:tcPr>
          <w:p>
            <w:pPr>
              <w:spacing w:after="0"/>
              <w:rPr>
                <w:sz w:val="7"/>
                <w:szCs w:val="7"/>
                <w:color w:val="auto"/>
              </w:rPr>
            </w:pPr>
          </w:p>
        </w:tc>
        <w:tc>
          <w:tcPr>
            <w:tcW w:w="36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auto"/>
              <w:bottom w:val="single" w:sz="8" w:color="auto"/>
            </w:tcBorders>
            <w:shd w:val="clear" w:color="auto" w:fill="C5E0B3"/>
          </w:tcPr>
          <w:p>
            <w:pPr>
              <w:spacing w:after="0"/>
              <w:rPr>
                <w:sz w:val="7"/>
                <w:szCs w:val="7"/>
                <w:color w:val="auto"/>
              </w:rPr>
            </w:pPr>
          </w:p>
        </w:tc>
        <w:tc>
          <w:tcPr>
            <w:tcW w:w="340" w:type="dxa"/>
            <w:vAlign w:val="bottom"/>
            <w:tcBorders>
              <w:top w:val="single" w:sz="8" w:color="C5E0B3"/>
              <w:bottom w:val="single" w:sz="8" w:color="auto"/>
            </w:tcBorders>
            <w:shd w:val="clear" w:color="auto" w:fill="C5E0B3"/>
          </w:tcPr>
          <w:p>
            <w:pPr>
              <w:spacing w:after="0"/>
              <w:rPr>
                <w:sz w:val="7"/>
                <w:szCs w:val="7"/>
                <w:color w:val="auto"/>
              </w:rPr>
            </w:pPr>
          </w:p>
        </w:tc>
        <w:tc>
          <w:tcPr>
            <w:tcW w:w="52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auto"/>
              <w:bottom w:val="single" w:sz="8" w:color="auto"/>
            </w:tcBorders>
            <w:shd w:val="clear" w:color="auto" w:fill="C5E0B3"/>
          </w:tcPr>
          <w:p>
            <w:pPr>
              <w:spacing w:after="0"/>
              <w:rPr>
                <w:sz w:val="7"/>
                <w:szCs w:val="7"/>
                <w:color w:val="auto"/>
              </w:rPr>
            </w:pPr>
          </w:p>
        </w:tc>
        <w:tc>
          <w:tcPr>
            <w:tcW w:w="500" w:type="dxa"/>
            <w:vAlign w:val="bottom"/>
            <w:tcBorders>
              <w:top w:val="single" w:sz="8" w:color="C5E0B3"/>
              <w:bottom w:val="single" w:sz="8" w:color="auto"/>
            </w:tcBorders>
            <w:shd w:val="clear" w:color="auto" w:fill="C5E0B3"/>
          </w:tcPr>
          <w:p>
            <w:pPr>
              <w:spacing w:after="0"/>
              <w:rPr>
                <w:sz w:val="7"/>
                <w:szCs w:val="7"/>
                <w:color w:val="auto"/>
              </w:rPr>
            </w:pPr>
          </w:p>
        </w:tc>
        <w:tc>
          <w:tcPr>
            <w:tcW w:w="340" w:type="dxa"/>
            <w:vAlign w:val="bottom"/>
            <w:tcBorders>
              <w:top w:val="single" w:sz="8" w:color="C5E0B3"/>
              <w:bottom w:val="single" w:sz="8" w:color="auto"/>
            </w:tcBorders>
            <w:shd w:val="clear" w:color="auto" w:fill="C5E0B3"/>
          </w:tcPr>
          <w:p>
            <w:pPr>
              <w:spacing w:after="0"/>
              <w:rPr>
                <w:sz w:val="7"/>
                <w:szCs w:val="7"/>
                <w:color w:val="auto"/>
              </w:rPr>
            </w:pPr>
          </w:p>
        </w:tc>
        <w:tc>
          <w:tcPr>
            <w:tcW w:w="4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C5E0B3"/>
              <w:bottom w:val="single" w:sz="8" w:color="auto"/>
            </w:tcBorders>
            <w:shd w:val="clear" w:color="auto" w:fill="C5E0B3"/>
          </w:tcPr>
          <w:p>
            <w:pPr>
              <w:spacing w:after="0"/>
              <w:rPr>
                <w:sz w:val="7"/>
                <w:szCs w:val="7"/>
                <w:color w:val="auto"/>
              </w:rPr>
            </w:pPr>
          </w:p>
        </w:tc>
        <w:tc>
          <w:tcPr>
            <w:tcW w:w="40" w:type="dxa"/>
            <w:vAlign w:val="bottom"/>
            <w:tcBorders>
              <w:top w:val="single" w:sz="8" w:color="C5E0B3"/>
              <w:bottom w:val="single" w:sz="8" w:color="auto"/>
            </w:tcBorders>
            <w:shd w:val="clear" w:color="auto" w:fill="C5E0B3"/>
          </w:tcPr>
          <w:p>
            <w:pPr>
              <w:spacing w:after="0"/>
              <w:rPr>
                <w:sz w:val="7"/>
                <w:szCs w:val="7"/>
                <w:color w:val="auto"/>
              </w:rPr>
            </w:pPr>
          </w:p>
        </w:tc>
        <w:tc>
          <w:tcPr>
            <w:tcW w:w="380" w:type="dxa"/>
            <w:vAlign w:val="bottom"/>
            <w:tcBorders>
              <w:top w:val="single" w:sz="8" w:color="C5E0B3"/>
              <w:bottom w:val="single" w:sz="8" w:color="auto"/>
            </w:tcBorders>
            <w:shd w:val="clear" w:color="auto" w:fill="C5E0B3"/>
          </w:tcPr>
          <w:p>
            <w:pPr>
              <w:spacing w:after="0"/>
              <w:rPr>
                <w:sz w:val="7"/>
                <w:szCs w:val="7"/>
                <w:color w:val="auto"/>
              </w:rPr>
            </w:pPr>
          </w:p>
        </w:tc>
        <w:tc>
          <w:tcPr>
            <w:tcW w:w="36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C5E0B3"/>
              <w:bottom w:val="single" w:sz="8" w:color="auto"/>
            </w:tcBorders>
            <w:shd w:val="clear" w:color="auto" w:fill="C5E0B3"/>
          </w:tcPr>
          <w:p>
            <w:pPr>
              <w:spacing w:after="0"/>
              <w:rPr>
                <w:sz w:val="7"/>
                <w:szCs w:val="7"/>
                <w:color w:val="auto"/>
              </w:rPr>
            </w:pPr>
          </w:p>
        </w:tc>
        <w:tc>
          <w:tcPr>
            <w:tcW w:w="400" w:type="dxa"/>
            <w:vAlign w:val="bottom"/>
            <w:tcBorders>
              <w:top w:val="single" w:sz="8" w:color="C5E0B3"/>
              <w:bottom w:val="single" w:sz="8" w:color="auto"/>
            </w:tcBorders>
            <w:shd w:val="clear" w:color="auto" w:fill="C5E0B3"/>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0" w:type="dxa"/>
            <w:vAlign w:val="bottom"/>
            <w:shd w:val="clear" w:color="auto" w:fill="C5E0B3"/>
          </w:tcPr>
          <w:p>
            <w:pPr>
              <w:jc w:val="center"/>
              <w:spacing w:after="0"/>
              <w:rPr>
                <w:sz w:val="20"/>
                <w:szCs w:val="20"/>
                <w:color w:val="auto"/>
              </w:rPr>
            </w:pPr>
            <w:r>
              <w:rPr>
                <w:rFonts w:ascii="Arial" w:cs="Arial" w:eastAsia="Arial" w:hAnsi="Arial"/>
                <w:sz w:val="13"/>
                <w:szCs w:val="13"/>
                <w:b w:val="1"/>
                <w:bCs w:val="1"/>
                <w:color w:val="auto"/>
                <w:w w:val="82"/>
              </w:rPr>
              <w:t>Jay</w:t>
            </w:r>
          </w:p>
        </w:tc>
        <w:tc>
          <w:tcPr>
            <w:tcW w:w="300" w:type="dxa"/>
            <w:vAlign w:val="bottom"/>
            <w:shd w:val="clear" w:color="auto" w:fill="C5E0B3"/>
          </w:tcPr>
          <w:p>
            <w:pPr>
              <w:spacing w:after="0"/>
              <w:rPr>
                <w:sz w:val="13"/>
                <w:szCs w:val="13"/>
                <w:color w:val="auto"/>
              </w:rPr>
            </w:pPr>
          </w:p>
        </w:tc>
        <w:tc>
          <w:tcPr>
            <w:tcW w:w="620" w:type="dxa"/>
            <w:vAlign w:val="bottom"/>
            <w:gridSpan w:val="2"/>
            <w:vMerge w:val="restart"/>
            <w:shd w:val="clear" w:color="auto" w:fill="C5E0B3"/>
          </w:tcPr>
          <w:p>
            <w:pPr>
              <w:jc w:val="center"/>
              <w:ind w:right="300"/>
              <w:spacing w:after="0"/>
              <w:rPr>
                <w:sz w:val="20"/>
                <w:szCs w:val="20"/>
                <w:color w:val="auto"/>
              </w:rPr>
            </w:pPr>
            <w:r>
              <w:rPr>
                <w:rFonts w:ascii="Arial" w:cs="Arial" w:eastAsia="Arial" w:hAnsi="Arial"/>
                <w:sz w:val="16"/>
                <w:szCs w:val="16"/>
                <w:b w:val="1"/>
                <w:bCs w:val="1"/>
                <w:color w:val="auto"/>
                <w:w w:val="99"/>
              </w:rPr>
              <w:t>YES</w:t>
            </w:r>
          </w:p>
        </w:tc>
        <w:tc>
          <w:tcPr>
            <w:tcW w:w="340" w:type="dxa"/>
            <w:vAlign w:val="bottom"/>
            <w:shd w:val="clear" w:color="auto" w:fill="C5E0B3"/>
          </w:tcPr>
          <w:p>
            <w:pPr>
              <w:spacing w:after="0"/>
              <w:rPr>
                <w:sz w:val="13"/>
                <w:szCs w:val="13"/>
                <w:color w:val="auto"/>
              </w:rPr>
            </w:pPr>
          </w:p>
        </w:tc>
        <w:tc>
          <w:tcPr>
            <w:tcW w:w="660" w:type="dxa"/>
            <w:vAlign w:val="bottom"/>
            <w:gridSpan w:val="2"/>
            <w:vMerge w:val="restart"/>
            <w:shd w:val="clear" w:color="auto" w:fill="C5E0B3"/>
          </w:tcPr>
          <w:p>
            <w:pPr>
              <w:jc w:val="center"/>
              <w:ind w:right="340"/>
              <w:spacing w:after="0"/>
              <w:rPr>
                <w:sz w:val="20"/>
                <w:szCs w:val="20"/>
                <w:color w:val="auto"/>
              </w:rPr>
            </w:pPr>
            <w:r>
              <w:rPr>
                <w:rFonts w:ascii="Arial" w:cs="Arial" w:eastAsia="Arial" w:hAnsi="Arial"/>
                <w:sz w:val="16"/>
                <w:szCs w:val="16"/>
                <w:b w:val="1"/>
                <w:bCs w:val="1"/>
                <w:color w:val="auto"/>
              </w:rPr>
              <w:t>X</w:t>
            </w:r>
          </w:p>
        </w:tc>
        <w:tc>
          <w:tcPr>
            <w:tcW w:w="1300" w:type="dxa"/>
            <w:vAlign w:val="bottom"/>
            <w:gridSpan w:val="3"/>
            <w:vMerge w:val="restart"/>
            <w:shd w:val="clear" w:color="auto" w:fill="C5E0B3"/>
          </w:tcPr>
          <w:p>
            <w:pPr>
              <w:jc w:val="center"/>
              <w:spacing w:after="0"/>
              <w:rPr>
                <w:sz w:val="20"/>
                <w:szCs w:val="20"/>
                <w:color w:val="auto"/>
              </w:rPr>
            </w:pPr>
            <w:r>
              <w:rPr>
                <w:rFonts w:ascii="Arial" w:cs="Arial" w:eastAsia="Arial" w:hAnsi="Arial"/>
                <w:sz w:val="16"/>
                <w:szCs w:val="16"/>
                <w:b w:val="1"/>
                <w:bCs w:val="1"/>
                <w:color w:val="auto"/>
                <w:w w:val="99"/>
              </w:rPr>
              <w:t>YES</w:t>
            </w:r>
          </w:p>
        </w:tc>
        <w:tc>
          <w:tcPr>
            <w:tcW w:w="1100" w:type="dxa"/>
            <w:vAlign w:val="bottom"/>
            <w:gridSpan w:val="3"/>
            <w:vMerge w:val="restart"/>
            <w:shd w:val="clear" w:color="auto" w:fill="C5E0B3"/>
          </w:tcPr>
          <w:p>
            <w:pPr>
              <w:jc w:val="center"/>
              <w:ind w:right="20"/>
              <w:spacing w:after="0"/>
              <w:rPr>
                <w:sz w:val="20"/>
                <w:szCs w:val="20"/>
                <w:color w:val="auto"/>
              </w:rPr>
            </w:pPr>
            <w:r>
              <w:rPr>
                <w:rFonts w:ascii="Arial" w:cs="Arial" w:eastAsia="Arial" w:hAnsi="Arial"/>
                <w:sz w:val="16"/>
                <w:szCs w:val="16"/>
                <w:b w:val="1"/>
                <w:bCs w:val="1"/>
                <w:color w:val="auto"/>
                <w:w w:val="99"/>
              </w:rPr>
              <w:t>YES</w:t>
            </w:r>
          </w:p>
        </w:tc>
        <w:tc>
          <w:tcPr>
            <w:tcW w:w="400" w:type="dxa"/>
            <w:vAlign w:val="bottom"/>
            <w:shd w:val="clear" w:color="auto" w:fill="C5E0B3"/>
          </w:tcPr>
          <w:p>
            <w:pPr>
              <w:spacing w:after="0"/>
              <w:rPr>
                <w:sz w:val="13"/>
                <w:szCs w:val="13"/>
                <w:color w:val="auto"/>
              </w:rPr>
            </w:pPr>
          </w:p>
        </w:tc>
        <w:tc>
          <w:tcPr>
            <w:tcW w:w="740" w:type="dxa"/>
            <w:vAlign w:val="bottom"/>
            <w:gridSpan w:val="2"/>
            <w:vMerge w:val="restart"/>
            <w:shd w:val="clear" w:color="auto" w:fill="C5E0B3"/>
          </w:tcPr>
          <w:p>
            <w:pPr>
              <w:jc w:val="center"/>
              <w:ind w:right="440"/>
              <w:spacing w:after="0"/>
              <w:rPr>
                <w:sz w:val="20"/>
                <w:szCs w:val="20"/>
                <w:color w:val="auto"/>
              </w:rPr>
            </w:pPr>
            <w:r>
              <w:rPr>
                <w:rFonts w:ascii="Arial" w:cs="Arial" w:eastAsia="Arial" w:hAnsi="Arial"/>
                <w:sz w:val="16"/>
                <w:szCs w:val="16"/>
                <w:b w:val="1"/>
                <w:bCs w:val="1"/>
                <w:color w:val="auto"/>
                <w:w w:val="93"/>
              </w:rPr>
              <w:t>X</w:t>
            </w:r>
          </w:p>
        </w:tc>
        <w:tc>
          <w:tcPr>
            <w:tcW w:w="360" w:type="dxa"/>
            <w:vAlign w:val="bottom"/>
            <w:shd w:val="clear" w:color="auto" w:fill="C5E0B3"/>
          </w:tcPr>
          <w:p>
            <w:pPr>
              <w:spacing w:after="0"/>
              <w:rPr>
                <w:sz w:val="13"/>
                <w:szCs w:val="13"/>
                <w:color w:val="auto"/>
              </w:rPr>
            </w:pPr>
          </w:p>
        </w:tc>
        <w:tc>
          <w:tcPr>
            <w:tcW w:w="660" w:type="dxa"/>
            <w:vAlign w:val="bottom"/>
            <w:gridSpan w:val="2"/>
            <w:vMerge w:val="restart"/>
            <w:shd w:val="clear" w:color="auto" w:fill="C5E0B3"/>
          </w:tcPr>
          <w:p>
            <w:pPr>
              <w:jc w:val="center"/>
              <w:ind w:right="340"/>
              <w:spacing w:after="0"/>
              <w:rPr>
                <w:sz w:val="20"/>
                <w:szCs w:val="20"/>
                <w:color w:val="auto"/>
              </w:rPr>
            </w:pPr>
            <w:r>
              <w:rPr>
                <w:rFonts w:ascii="Arial" w:cs="Arial" w:eastAsia="Arial" w:hAnsi="Arial"/>
                <w:sz w:val="16"/>
                <w:szCs w:val="16"/>
                <w:b w:val="1"/>
                <w:bCs w:val="1"/>
                <w:color w:val="auto"/>
                <w:w w:val="99"/>
              </w:rPr>
              <w:t>YES</w:t>
            </w:r>
          </w:p>
        </w:tc>
        <w:tc>
          <w:tcPr>
            <w:tcW w:w="520" w:type="dxa"/>
            <w:vAlign w:val="bottom"/>
            <w:shd w:val="clear" w:color="auto" w:fill="C5E0B3"/>
          </w:tcPr>
          <w:p>
            <w:pPr>
              <w:spacing w:after="0"/>
              <w:rPr>
                <w:sz w:val="13"/>
                <w:szCs w:val="13"/>
                <w:color w:val="auto"/>
              </w:rPr>
            </w:pPr>
          </w:p>
        </w:tc>
        <w:tc>
          <w:tcPr>
            <w:tcW w:w="820" w:type="dxa"/>
            <w:vAlign w:val="bottom"/>
            <w:gridSpan w:val="2"/>
            <w:vMerge w:val="restart"/>
            <w:shd w:val="clear" w:color="auto" w:fill="C5E0B3"/>
          </w:tcPr>
          <w:p>
            <w:pPr>
              <w:jc w:val="center"/>
              <w:ind w:right="500"/>
              <w:spacing w:after="0"/>
              <w:rPr>
                <w:sz w:val="20"/>
                <w:szCs w:val="20"/>
                <w:color w:val="auto"/>
              </w:rPr>
            </w:pPr>
            <w:r>
              <w:rPr>
                <w:rFonts w:ascii="Arial" w:cs="Arial" w:eastAsia="Arial" w:hAnsi="Arial"/>
                <w:sz w:val="16"/>
                <w:szCs w:val="16"/>
                <w:b w:val="1"/>
                <w:bCs w:val="1"/>
                <w:color w:val="auto"/>
                <w:w w:val="99"/>
              </w:rPr>
              <w:t>YES</w:t>
            </w:r>
          </w:p>
        </w:tc>
        <w:tc>
          <w:tcPr>
            <w:tcW w:w="340" w:type="dxa"/>
            <w:vAlign w:val="bottom"/>
            <w:shd w:val="clear" w:color="auto" w:fill="C5E0B3"/>
          </w:tcPr>
          <w:p>
            <w:pPr>
              <w:spacing w:after="0"/>
              <w:rPr>
                <w:sz w:val="13"/>
                <w:szCs w:val="13"/>
                <w:color w:val="auto"/>
              </w:rPr>
            </w:pPr>
          </w:p>
        </w:tc>
        <w:tc>
          <w:tcPr>
            <w:tcW w:w="40" w:type="dxa"/>
            <w:vAlign w:val="bottom"/>
            <w:shd w:val="clear" w:color="auto" w:fill="C5E0B3"/>
          </w:tcPr>
          <w:p>
            <w:pPr>
              <w:spacing w:after="0"/>
              <w:rPr>
                <w:sz w:val="13"/>
                <w:szCs w:val="13"/>
                <w:color w:val="auto"/>
              </w:rPr>
            </w:pPr>
          </w:p>
        </w:tc>
        <w:tc>
          <w:tcPr>
            <w:tcW w:w="740" w:type="dxa"/>
            <w:vAlign w:val="bottom"/>
            <w:gridSpan w:val="3"/>
            <w:vMerge w:val="restart"/>
            <w:shd w:val="clear" w:color="auto" w:fill="C5E0B3"/>
          </w:tcPr>
          <w:p>
            <w:pPr>
              <w:jc w:val="center"/>
              <w:ind w:right="420"/>
              <w:spacing w:after="0"/>
              <w:rPr>
                <w:sz w:val="20"/>
                <w:szCs w:val="20"/>
                <w:color w:val="auto"/>
              </w:rPr>
            </w:pPr>
            <w:r>
              <w:rPr>
                <w:rFonts w:ascii="Arial" w:cs="Arial" w:eastAsia="Arial" w:hAnsi="Arial"/>
                <w:sz w:val="16"/>
                <w:szCs w:val="16"/>
                <w:b w:val="1"/>
                <w:bCs w:val="1"/>
                <w:color w:val="auto"/>
              </w:rPr>
              <w:t>X</w:t>
            </w:r>
          </w:p>
        </w:tc>
        <w:tc>
          <w:tcPr>
            <w:tcW w:w="360" w:type="dxa"/>
            <w:vAlign w:val="bottom"/>
            <w:shd w:val="clear" w:color="auto" w:fill="C5E0B3"/>
          </w:tcPr>
          <w:p>
            <w:pPr>
              <w:spacing w:after="0"/>
              <w:rPr>
                <w:sz w:val="13"/>
                <w:szCs w:val="13"/>
                <w:color w:val="auto"/>
              </w:rPr>
            </w:pPr>
          </w:p>
        </w:tc>
        <w:tc>
          <w:tcPr>
            <w:tcW w:w="720" w:type="dxa"/>
            <w:vAlign w:val="bottom"/>
            <w:gridSpan w:val="2"/>
            <w:vMerge w:val="restart"/>
            <w:shd w:val="clear" w:color="auto" w:fill="C5E0B3"/>
          </w:tcPr>
          <w:p>
            <w:pPr>
              <w:jc w:val="center"/>
              <w:ind w:right="400"/>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200" w:type="dxa"/>
            <w:vAlign w:val="bottom"/>
            <w:vMerge w:val="restart"/>
            <w:shd w:val="clear" w:color="auto" w:fill="C5E0B3"/>
          </w:tcPr>
          <w:p>
            <w:pPr>
              <w:jc w:val="center"/>
              <w:spacing w:after="0"/>
              <w:rPr>
                <w:sz w:val="20"/>
                <w:szCs w:val="20"/>
                <w:color w:val="auto"/>
              </w:rPr>
            </w:pPr>
            <w:r>
              <w:rPr>
                <w:rFonts w:ascii="Arial" w:cs="Arial" w:eastAsia="Arial" w:hAnsi="Arial"/>
                <w:sz w:val="13"/>
                <w:szCs w:val="13"/>
                <w:b w:val="1"/>
                <w:bCs w:val="1"/>
                <w:color w:val="auto"/>
                <w:w w:val="93"/>
              </w:rPr>
              <w:t>Newman</w:t>
            </w:r>
          </w:p>
        </w:tc>
        <w:tc>
          <w:tcPr>
            <w:tcW w:w="300" w:type="dxa"/>
            <w:vAlign w:val="bottom"/>
            <w:shd w:val="clear" w:color="auto" w:fill="C5E0B3"/>
          </w:tcPr>
          <w:p>
            <w:pPr>
              <w:spacing w:after="0"/>
              <w:rPr>
                <w:sz w:val="6"/>
                <w:szCs w:val="6"/>
                <w:color w:val="auto"/>
              </w:rPr>
            </w:pPr>
          </w:p>
        </w:tc>
        <w:tc>
          <w:tcPr>
            <w:tcW w:w="620" w:type="dxa"/>
            <w:vAlign w:val="bottom"/>
            <w:gridSpan w:val="2"/>
            <w:vMerge w:val="continue"/>
            <w:shd w:val="clear" w:color="auto" w:fill="C5E0B3"/>
          </w:tcPr>
          <w:p>
            <w:pPr>
              <w:spacing w:after="0"/>
              <w:rPr>
                <w:sz w:val="6"/>
                <w:szCs w:val="6"/>
                <w:color w:val="auto"/>
              </w:rPr>
            </w:pPr>
          </w:p>
        </w:tc>
        <w:tc>
          <w:tcPr>
            <w:tcW w:w="340" w:type="dxa"/>
            <w:vAlign w:val="bottom"/>
            <w:shd w:val="clear" w:color="auto" w:fill="C5E0B3"/>
          </w:tcPr>
          <w:p>
            <w:pPr>
              <w:spacing w:after="0"/>
              <w:rPr>
                <w:sz w:val="6"/>
                <w:szCs w:val="6"/>
                <w:color w:val="auto"/>
              </w:rPr>
            </w:pPr>
          </w:p>
        </w:tc>
        <w:tc>
          <w:tcPr>
            <w:tcW w:w="660" w:type="dxa"/>
            <w:vAlign w:val="bottom"/>
            <w:gridSpan w:val="2"/>
            <w:vMerge w:val="continue"/>
            <w:shd w:val="clear" w:color="auto" w:fill="C5E0B3"/>
          </w:tcPr>
          <w:p>
            <w:pPr>
              <w:spacing w:after="0"/>
              <w:rPr>
                <w:sz w:val="6"/>
                <w:szCs w:val="6"/>
                <w:color w:val="auto"/>
              </w:rPr>
            </w:pPr>
          </w:p>
        </w:tc>
        <w:tc>
          <w:tcPr>
            <w:tcW w:w="1300" w:type="dxa"/>
            <w:vAlign w:val="bottom"/>
            <w:gridSpan w:val="3"/>
            <w:vMerge w:val="continue"/>
            <w:shd w:val="clear" w:color="auto" w:fill="C5E0B3"/>
          </w:tcPr>
          <w:p>
            <w:pPr>
              <w:spacing w:after="0"/>
              <w:rPr>
                <w:sz w:val="6"/>
                <w:szCs w:val="6"/>
                <w:color w:val="auto"/>
              </w:rPr>
            </w:pPr>
          </w:p>
        </w:tc>
        <w:tc>
          <w:tcPr>
            <w:tcW w:w="1100" w:type="dxa"/>
            <w:vAlign w:val="bottom"/>
            <w:gridSpan w:val="3"/>
            <w:vMerge w:val="continue"/>
            <w:shd w:val="clear" w:color="auto" w:fill="C5E0B3"/>
          </w:tcPr>
          <w:p>
            <w:pPr>
              <w:spacing w:after="0"/>
              <w:rPr>
                <w:sz w:val="6"/>
                <w:szCs w:val="6"/>
                <w:color w:val="auto"/>
              </w:rPr>
            </w:pPr>
          </w:p>
        </w:tc>
        <w:tc>
          <w:tcPr>
            <w:tcW w:w="400" w:type="dxa"/>
            <w:vAlign w:val="bottom"/>
            <w:shd w:val="clear" w:color="auto" w:fill="C5E0B3"/>
          </w:tcPr>
          <w:p>
            <w:pPr>
              <w:spacing w:after="0"/>
              <w:rPr>
                <w:sz w:val="6"/>
                <w:szCs w:val="6"/>
                <w:color w:val="auto"/>
              </w:rPr>
            </w:pPr>
          </w:p>
        </w:tc>
        <w:tc>
          <w:tcPr>
            <w:tcW w:w="740" w:type="dxa"/>
            <w:vAlign w:val="bottom"/>
            <w:gridSpan w:val="2"/>
            <w:vMerge w:val="continue"/>
            <w:shd w:val="clear" w:color="auto" w:fill="C5E0B3"/>
          </w:tcPr>
          <w:p>
            <w:pPr>
              <w:spacing w:after="0"/>
              <w:rPr>
                <w:sz w:val="6"/>
                <w:szCs w:val="6"/>
                <w:color w:val="auto"/>
              </w:rPr>
            </w:pPr>
          </w:p>
        </w:tc>
        <w:tc>
          <w:tcPr>
            <w:tcW w:w="360" w:type="dxa"/>
            <w:vAlign w:val="bottom"/>
            <w:shd w:val="clear" w:color="auto" w:fill="C5E0B3"/>
          </w:tcPr>
          <w:p>
            <w:pPr>
              <w:spacing w:after="0"/>
              <w:rPr>
                <w:sz w:val="6"/>
                <w:szCs w:val="6"/>
                <w:color w:val="auto"/>
              </w:rPr>
            </w:pPr>
          </w:p>
        </w:tc>
        <w:tc>
          <w:tcPr>
            <w:tcW w:w="660" w:type="dxa"/>
            <w:vAlign w:val="bottom"/>
            <w:gridSpan w:val="2"/>
            <w:vMerge w:val="continue"/>
            <w:shd w:val="clear" w:color="auto" w:fill="C5E0B3"/>
          </w:tcPr>
          <w:p>
            <w:pPr>
              <w:spacing w:after="0"/>
              <w:rPr>
                <w:sz w:val="6"/>
                <w:szCs w:val="6"/>
                <w:color w:val="auto"/>
              </w:rPr>
            </w:pPr>
          </w:p>
        </w:tc>
        <w:tc>
          <w:tcPr>
            <w:tcW w:w="520" w:type="dxa"/>
            <w:vAlign w:val="bottom"/>
            <w:shd w:val="clear" w:color="auto" w:fill="C5E0B3"/>
          </w:tcPr>
          <w:p>
            <w:pPr>
              <w:spacing w:after="0"/>
              <w:rPr>
                <w:sz w:val="6"/>
                <w:szCs w:val="6"/>
                <w:color w:val="auto"/>
              </w:rPr>
            </w:pPr>
          </w:p>
        </w:tc>
        <w:tc>
          <w:tcPr>
            <w:tcW w:w="820" w:type="dxa"/>
            <w:vAlign w:val="bottom"/>
            <w:gridSpan w:val="2"/>
            <w:vMerge w:val="continue"/>
            <w:shd w:val="clear" w:color="auto" w:fill="C5E0B3"/>
          </w:tcPr>
          <w:p>
            <w:pPr>
              <w:spacing w:after="0"/>
              <w:rPr>
                <w:sz w:val="6"/>
                <w:szCs w:val="6"/>
                <w:color w:val="auto"/>
              </w:rPr>
            </w:pPr>
          </w:p>
        </w:tc>
        <w:tc>
          <w:tcPr>
            <w:tcW w:w="340" w:type="dxa"/>
            <w:vAlign w:val="bottom"/>
            <w:shd w:val="clear" w:color="auto" w:fill="C5E0B3"/>
          </w:tcPr>
          <w:p>
            <w:pPr>
              <w:spacing w:after="0"/>
              <w:rPr>
                <w:sz w:val="6"/>
                <w:szCs w:val="6"/>
                <w:color w:val="auto"/>
              </w:rPr>
            </w:pPr>
          </w:p>
        </w:tc>
        <w:tc>
          <w:tcPr>
            <w:tcW w:w="40" w:type="dxa"/>
            <w:vAlign w:val="bottom"/>
            <w:shd w:val="clear" w:color="auto" w:fill="C5E0B3"/>
          </w:tcPr>
          <w:p>
            <w:pPr>
              <w:spacing w:after="0"/>
              <w:rPr>
                <w:sz w:val="6"/>
                <w:szCs w:val="6"/>
                <w:color w:val="auto"/>
              </w:rPr>
            </w:pPr>
          </w:p>
        </w:tc>
        <w:tc>
          <w:tcPr>
            <w:tcW w:w="740" w:type="dxa"/>
            <w:vAlign w:val="bottom"/>
            <w:gridSpan w:val="3"/>
            <w:vMerge w:val="continue"/>
            <w:shd w:val="clear" w:color="auto" w:fill="C5E0B3"/>
          </w:tcPr>
          <w:p>
            <w:pPr>
              <w:spacing w:after="0"/>
              <w:rPr>
                <w:sz w:val="6"/>
                <w:szCs w:val="6"/>
                <w:color w:val="auto"/>
              </w:rPr>
            </w:pPr>
          </w:p>
        </w:tc>
        <w:tc>
          <w:tcPr>
            <w:tcW w:w="360" w:type="dxa"/>
            <w:vAlign w:val="bottom"/>
            <w:shd w:val="clear" w:color="auto" w:fill="C5E0B3"/>
          </w:tcPr>
          <w:p>
            <w:pPr>
              <w:spacing w:after="0"/>
              <w:rPr>
                <w:sz w:val="6"/>
                <w:szCs w:val="6"/>
                <w:color w:val="auto"/>
              </w:rPr>
            </w:pPr>
          </w:p>
        </w:tc>
        <w:tc>
          <w:tcPr>
            <w:tcW w:w="720" w:type="dxa"/>
            <w:vAlign w:val="bottom"/>
            <w:gridSpan w:val="2"/>
            <w:vMerge w:val="continue"/>
            <w:shd w:val="clear" w:color="auto" w:fill="C5E0B3"/>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auto"/>
            </w:tcBorders>
          </w:tcPr>
          <w:p>
            <w:pPr>
              <w:spacing w:after="0"/>
              <w:rPr>
                <w:sz w:val="7"/>
                <w:szCs w:val="7"/>
                <w:color w:val="auto"/>
              </w:rPr>
            </w:pPr>
          </w:p>
        </w:tc>
        <w:tc>
          <w:tcPr>
            <w:tcW w:w="1200" w:type="dxa"/>
            <w:vAlign w:val="bottom"/>
            <w:tcBorders>
              <w:top w:val="single" w:sz="8" w:color="C5E0B3"/>
              <w:bottom w:val="single" w:sz="8" w:color="auto"/>
            </w:tcBorders>
            <w:vMerge w:val="continue"/>
            <w:shd w:val="clear" w:color="auto" w:fill="C5E0B3"/>
          </w:tcPr>
          <w:p>
            <w:pPr>
              <w:spacing w:after="0"/>
              <w:rPr>
                <w:sz w:val="7"/>
                <w:szCs w:val="7"/>
                <w:color w:val="auto"/>
              </w:rPr>
            </w:pPr>
          </w:p>
        </w:tc>
        <w:tc>
          <w:tcPr>
            <w:tcW w:w="30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auto"/>
              <w:bottom w:val="single" w:sz="8" w:color="auto"/>
            </w:tcBorders>
            <w:shd w:val="clear" w:color="auto" w:fill="C5E0B3"/>
          </w:tcPr>
          <w:p>
            <w:pPr>
              <w:spacing w:after="0"/>
              <w:rPr>
                <w:sz w:val="7"/>
                <w:szCs w:val="7"/>
                <w:color w:val="auto"/>
              </w:rPr>
            </w:pPr>
          </w:p>
        </w:tc>
        <w:tc>
          <w:tcPr>
            <w:tcW w:w="300" w:type="dxa"/>
            <w:vAlign w:val="bottom"/>
            <w:tcBorders>
              <w:top w:val="single" w:sz="8" w:color="C5E0B3"/>
              <w:bottom w:val="single" w:sz="8" w:color="auto"/>
            </w:tcBorders>
            <w:shd w:val="clear" w:color="auto" w:fill="C5E0B3"/>
          </w:tcPr>
          <w:p>
            <w:pPr>
              <w:spacing w:after="0"/>
              <w:rPr>
                <w:sz w:val="7"/>
                <w:szCs w:val="7"/>
                <w:color w:val="auto"/>
              </w:rPr>
            </w:pPr>
          </w:p>
        </w:tc>
        <w:tc>
          <w:tcPr>
            <w:tcW w:w="34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C5E0B3"/>
              <w:bottom w:val="single" w:sz="8" w:color="auto"/>
            </w:tcBorders>
            <w:shd w:val="clear" w:color="auto" w:fill="C5E0B3"/>
          </w:tcPr>
          <w:p>
            <w:pPr>
              <w:spacing w:after="0"/>
              <w:rPr>
                <w:sz w:val="7"/>
                <w:szCs w:val="7"/>
                <w:color w:val="auto"/>
              </w:rPr>
            </w:pPr>
          </w:p>
        </w:tc>
        <w:tc>
          <w:tcPr>
            <w:tcW w:w="340" w:type="dxa"/>
            <w:vAlign w:val="bottom"/>
            <w:tcBorders>
              <w:top w:val="single" w:sz="8" w:color="C5E0B3"/>
              <w:bottom w:val="single" w:sz="8" w:color="auto"/>
            </w:tcBorders>
            <w:shd w:val="clear" w:color="auto" w:fill="C5E0B3"/>
          </w:tcPr>
          <w:p>
            <w:pPr>
              <w:spacing w:after="0"/>
              <w:rPr>
                <w:sz w:val="7"/>
                <w:szCs w:val="7"/>
                <w:color w:val="auto"/>
              </w:rPr>
            </w:pPr>
          </w:p>
        </w:tc>
        <w:tc>
          <w:tcPr>
            <w:tcW w:w="50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auto"/>
              <w:bottom w:val="single" w:sz="8" w:color="auto"/>
            </w:tcBorders>
            <w:shd w:val="clear" w:color="auto" w:fill="C5E0B3"/>
          </w:tcPr>
          <w:p>
            <w:pPr>
              <w:spacing w:after="0"/>
              <w:rPr>
                <w:sz w:val="7"/>
                <w:szCs w:val="7"/>
                <w:color w:val="auto"/>
              </w:rPr>
            </w:pPr>
          </w:p>
        </w:tc>
        <w:tc>
          <w:tcPr>
            <w:tcW w:w="480" w:type="dxa"/>
            <w:vAlign w:val="bottom"/>
            <w:tcBorders>
              <w:top w:val="single" w:sz="8" w:color="C5E0B3"/>
              <w:bottom w:val="single" w:sz="8" w:color="auto"/>
            </w:tcBorders>
            <w:shd w:val="clear" w:color="auto" w:fill="C5E0B3"/>
          </w:tcPr>
          <w:p>
            <w:pPr>
              <w:spacing w:after="0"/>
              <w:rPr>
                <w:sz w:val="7"/>
                <w:szCs w:val="7"/>
                <w:color w:val="auto"/>
              </w:rPr>
            </w:pPr>
          </w:p>
        </w:tc>
        <w:tc>
          <w:tcPr>
            <w:tcW w:w="38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auto"/>
              <w:bottom w:val="single" w:sz="8" w:color="auto"/>
            </w:tcBorders>
            <w:shd w:val="clear" w:color="auto" w:fill="C5E0B3"/>
          </w:tcPr>
          <w:p>
            <w:pPr>
              <w:spacing w:after="0"/>
              <w:rPr>
                <w:sz w:val="7"/>
                <w:szCs w:val="7"/>
                <w:color w:val="auto"/>
              </w:rPr>
            </w:pPr>
          </w:p>
        </w:tc>
        <w:tc>
          <w:tcPr>
            <w:tcW w:w="400" w:type="dxa"/>
            <w:vAlign w:val="bottom"/>
            <w:tcBorders>
              <w:top w:val="single" w:sz="8" w:color="C5E0B3"/>
              <w:bottom w:val="single" w:sz="8" w:color="auto"/>
            </w:tcBorders>
            <w:shd w:val="clear" w:color="auto" w:fill="C5E0B3"/>
          </w:tcPr>
          <w:p>
            <w:pPr>
              <w:spacing w:after="0"/>
              <w:rPr>
                <w:sz w:val="7"/>
                <w:szCs w:val="7"/>
                <w:color w:val="auto"/>
              </w:rPr>
            </w:pPr>
          </w:p>
        </w:tc>
        <w:tc>
          <w:tcPr>
            <w:tcW w:w="400" w:type="dxa"/>
            <w:vAlign w:val="bottom"/>
            <w:tcBorders>
              <w:top w:val="single" w:sz="8" w:color="C5E0B3"/>
              <w:bottom w:val="single" w:sz="8" w:color="auto"/>
            </w:tcBorders>
            <w:shd w:val="clear" w:color="auto" w:fill="C5E0B3"/>
          </w:tcPr>
          <w:p>
            <w:pPr>
              <w:spacing w:after="0"/>
              <w:rPr>
                <w:sz w:val="7"/>
                <w:szCs w:val="7"/>
                <w:color w:val="auto"/>
              </w:rPr>
            </w:pPr>
          </w:p>
        </w:tc>
        <w:tc>
          <w:tcPr>
            <w:tcW w:w="300" w:type="dxa"/>
            <w:vAlign w:val="bottom"/>
            <w:tcBorders>
              <w:top w:val="single" w:sz="8" w:color="C5E0B3"/>
              <w:bottom w:val="single" w:sz="8" w:color="auto"/>
            </w:tcBorders>
            <w:shd w:val="clear" w:color="auto" w:fill="C5E0B3"/>
          </w:tcPr>
          <w:p>
            <w:pPr>
              <w:spacing w:after="0"/>
              <w:rPr>
                <w:sz w:val="7"/>
                <w:szCs w:val="7"/>
                <w:color w:val="auto"/>
              </w:rPr>
            </w:pPr>
          </w:p>
        </w:tc>
        <w:tc>
          <w:tcPr>
            <w:tcW w:w="440" w:type="dxa"/>
            <w:vAlign w:val="bottom"/>
            <w:tcBorders>
              <w:top w:val="single" w:sz="8" w:color="C5E0B3"/>
              <w:bottom w:val="single" w:sz="8" w:color="auto"/>
            </w:tcBorders>
            <w:shd w:val="clear" w:color="auto" w:fill="C5E0B3"/>
          </w:tcPr>
          <w:p>
            <w:pPr>
              <w:spacing w:after="0"/>
              <w:rPr>
                <w:sz w:val="7"/>
                <w:szCs w:val="7"/>
                <w:color w:val="auto"/>
              </w:rPr>
            </w:pPr>
          </w:p>
        </w:tc>
        <w:tc>
          <w:tcPr>
            <w:tcW w:w="36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auto"/>
              <w:bottom w:val="single" w:sz="8" w:color="auto"/>
            </w:tcBorders>
            <w:shd w:val="clear" w:color="auto" w:fill="C5E0B3"/>
          </w:tcPr>
          <w:p>
            <w:pPr>
              <w:spacing w:after="0"/>
              <w:rPr>
                <w:sz w:val="7"/>
                <w:szCs w:val="7"/>
                <w:color w:val="auto"/>
              </w:rPr>
            </w:pPr>
          </w:p>
        </w:tc>
        <w:tc>
          <w:tcPr>
            <w:tcW w:w="340" w:type="dxa"/>
            <w:vAlign w:val="bottom"/>
            <w:tcBorders>
              <w:top w:val="single" w:sz="8" w:color="C5E0B3"/>
              <w:bottom w:val="single" w:sz="8" w:color="auto"/>
            </w:tcBorders>
            <w:shd w:val="clear" w:color="auto" w:fill="C5E0B3"/>
          </w:tcPr>
          <w:p>
            <w:pPr>
              <w:spacing w:after="0"/>
              <w:rPr>
                <w:sz w:val="7"/>
                <w:szCs w:val="7"/>
                <w:color w:val="auto"/>
              </w:rPr>
            </w:pPr>
          </w:p>
        </w:tc>
        <w:tc>
          <w:tcPr>
            <w:tcW w:w="52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auto"/>
              <w:bottom w:val="single" w:sz="8" w:color="auto"/>
            </w:tcBorders>
            <w:shd w:val="clear" w:color="auto" w:fill="C5E0B3"/>
          </w:tcPr>
          <w:p>
            <w:pPr>
              <w:spacing w:after="0"/>
              <w:rPr>
                <w:sz w:val="7"/>
                <w:szCs w:val="7"/>
                <w:color w:val="auto"/>
              </w:rPr>
            </w:pPr>
          </w:p>
        </w:tc>
        <w:tc>
          <w:tcPr>
            <w:tcW w:w="500" w:type="dxa"/>
            <w:vAlign w:val="bottom"/>
            <w:tcBorders>
              <w:top w:val="single" w:sz="8" w:color="C5E0B3"/>
              <w:bottom w:val="single" w:sz="8" w:color="auto"/>
            </w:tcBorders>
            <w:shd w:val="clear" w:color="auto" w:fill="C5E0B3"/>
          </w:tcPr>
          <w:p>
            <w:pPr>
              <w:spacing w:after="0"/>
              <w:rPr>
                <w:sz w:val="7"/>
                <w:szCs w:val="7"/>
                <w:color w:val="auto"/>
              </w:rPr>
            </w:pPr>
          </w:p>
        </w:tc>
        <w:tc>
          <w:tcPr>
            <w:tcW w:w="340" w:type="dxa"/>
            <w:vAlign w:val="bottom"/>
            <w:tcBorders>
              <w:top w:val="single" w:sz="8" w:color="C5E0B3"/>
              <w:bottom w:val="single" w:sz="8" w:color="auto"/>
            </w:tcBorders>
            <w:shd w:val="clear" w:color="auto" w:fill="C5E0B3"/>
          </w:tcPr>
          <w:p>
            <w:pPr>
              <w:spacing w:after="0"/>
              <w:rPr>
                <w:sz w:val="7"/>
                <w:szCs w:val="7"/>
                <w:color w:val="auto"/>
              </w:rPr>
            </w:pPr>
          </w:p>
        </w:tc>
        <w:tc>
          <w:tcPr>
            <w:tcW w:w="4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C5E0B3"/>
              <w:bottom w:val="single" w:sz="8" w:color="auto"/>
            </w:tcBorders>
            <w:shd w:val="clear" w:color="auto" w:fill="C5E0B3"/>
          </w:tcPr>
          <w:p>
            <w:pPr>
              <w:spacing w:after="0"/>
              <w:rPr>
                <w:sz w:val="7"/>
                <w:szCs w:val="7"/>
                <w:color w:val="auto"/>
              </w:rPr>
            </w:pPr>
          </w:p>
        </w:tc>
        <w:tc>
          <w:tcPr>
            <w:tcW w:w="40" w:type="dxa"/>
            <w:vAlign w:val="bottom"/>
            <w:tcBorders>
              <w:top w:val="single" w:sz="8" w:color="C5E0B3"/>
              <w:bottom w:val="single" w:sz="8" w:color="auto"/>
            </w:tcBorders>
            <w:shd w:val="clear" w:color="auto" w:fill="C5E0B3"/>
          </w:tcPr>
          <w:p>
            <w:pPr>
              <w:spacing w:after="0"/>
              <w:rPr>
                <w:sz w:val="7"/>
                <w:szCs w:val="7"/>
                <w:color w:val="auto"/>
              </w:rPr>
            </w:pPr>
          </w:p>
        </w:tc>
        <w:tc>
          <w:tcPr>
            <w:tcW w:w="380" w:type="dxa"/>
            <w:vAlign w:val="bottom"/>
            <w:tcBorders>
              <w:top w:val="single" w:sz="8" w:color="C5E0B3"/>
              <w:bottom w:val="single" w:sz="8" w:color="auto"/>
            </w:tcBorders>
            <w:shd w:val="clear" w:color="auto" w:fill="C5E0B3"/>
          </w:tcPr>
          <w:p>
            <w:pPr>
              <w:spacing w:after="0"/>
              <w:rPr>
                <w:sz w:val="7"/>
                <w:szCs w:val="7"/>
                <w:color w:val="auto"/>
              </w:rPr>
            </w:pPr>
          </w:p>
        </w:tc>
        <w:tc>
          <w:tcPr>
            <w:tcW w:w="360" w:type="dxa"/>
            <w:vAlign w:val="bottom"/>
            <w:tcBorders>
              <w:top w:val="single" w:sz="8" w:color="C5E0B3"/>
              <w:bottom w:val="single" w:sz="8" w:color="auto"/>
            </w:tcBorders>
            <w:shd w:val="clear" w:color="auto" w:fill="C5E0B3"/>
          </w:tcPr>
          <w:p>
            <w:pPr>
              <w:spacing w:after="0"/>
              <w:rPr>
                <w:sz w:val="7"/>
                <w:szCs w:val="7"/>
                <w:color w:val="auto"/>
              </w:rPr>
            </w:pPr>
          </w:p>
        </w:tc>
        <w:tc>
          <w:tcPr>
            <w:tcW w:w="320" w:type="dxa"/>
            <w:vAlign w:val="bottom"/>
            <w:tcBorders>
              <w:top w:val="single" w:sz="8" w:color="C5E0B3"/>
              <w:bottom w:val="single" w:sz="8" w:color="auto"/>
            </w:tcBorders>
            <w:shd w:val="clear" w:color="auto" w:fill="C5E0B3"/>
          </w:tcPr>
          <w:p>
            <w:pPr>
              <w:spacing w:after="0"/>
              <w:rPr>
                <w:sz w:val="7"/>
                <w:szCs w:val="7"/>
                <w:color w:val="auto"/>
              </w:rPr>
            </w:pPr>
          </w:p>
        </w:tc>
        <w:tc>
          <w:tcPr>
            <w:tcW w:w="400" w:type="dxa"/>
            <w:vAlign w:val="bottom"/>
            <w:tcBorders>
              <w:top w:val="single" w:sz="8" w:color="C5E0B3"/>
              <w:bottom w:val="single" w:sz="8" w:color="auto"/>
            </w:tcBorders>
            <w:shd w:val="clear" w:color="auto" w:fill="C5E0B3"/>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0" w:type="dxa"/>
            <w:vAlign w:val="bottom"/>
            <w:shd w:val="clear" w:color="auto" w:fill="D9D9D9"/>
          </w:tcPr>
          <w:p>
            <w:pPr>
              <w:jc w:val="center"/>
              <w:spacing w:after="0"/>
              <w:rPr>
                <w:sz w:val="20"/>
                <w:szCs w:val="20"/>
                <w:color w:val="auto"/>
              </w:rPr>
            </w:pPr>
            <w:r>
              <w:rPr>
                <w:rFonts w:ascii="Arial" w:cs="Arial" w:eastAsia="Arial" w:hAnsi="Arial"/>
                <w:sz w:val="13"/>
                <w:szCs w:val="13"/>
                <w:b w:val="1"/>
                <w:bCs w:val="1"/>
                <w:color w:val="auto"/>
                <w:w w:val="90"/>
              </w:rPr>
              <w:t>Wayne</w:t>
            </w:r>
          </w:p>
        </w:tc>
        <w:tc>
          <w:tcPr>
            <w:tcW w:w="300" w:type="dxa"/>
            <w:vAlign w:val="bottom"/>
            <w:shd w:val="clear" w:color="auto" w:fill="D9D9D9"/>
          </w:tcPr>
          <w:p>
            <w:pPr>
              <w:spacing w:after="0"/>
              <w:rPr>
                <w:sz w:val="13"/>
                <w:szCs w:val="13"/>
                <w:color w:val="auto"/>
              </w:rPr>
            </w:pPr>
          </w:p>
        </w:tc>
        <w:tc>
          <w:tcPr>
            <w:tcW w:w="620" w:type="dxa"/>
            <w:vAlign w:val="bottom"/>
            <w:gridSpan w:val="2"/>
            <w:vMerge w:val="restart"/>
            <w:shd w:val="clear" w:color="auto" w:fill="D9D9D9"/>
          </w:tcPr>
          <w:p>
            <w:pPr>
              <w:jc w:val="center"/>
              <w:ind w:right="300"/>
              <w:spacing w:after="0"/>
              <w:rPr>
                <w:sz w:val="20"/>
                <w:szCs w:val="20"/>
                <w:color w:val="auto"/>
              </w:rPr>
            </w:pPr>
            <w:r>
              <w:rPr>
                <w:rFonts w:ascii="Arial" w:cs="Arial" w:eastAsia="Arial" w:hAnsi="Arial"/>
                <w:sz w:val="16"/>
                <w:szCs w:val="16"/>
                <w:b w:val="1"/>
                <w:bCs w:val="1"/>
                <w:color w:val="auto"/>
              </w:rPr>
              <w:t>X</w:t>
            </w:r>
          </w:p>
        </w:tc>
        <w:tc>
          <w:tcPr>
            <w:tcW w:w="340" w:type="dxa"/>
            <w:vAlign w:val="bottom"/>
            <w:shd w:val="clear" w:color="auto" w:fill="D9D9D9"/>
          </w:tcPr>
          <w:p>
            <w:pPr>
              <w:spacing w:after="0"/>
              <w:rPr>
                <w:sz w:val="13"/>
                <w:szCs w:val="13"/>
                <w:color w:val="auto"/>
              </w:rPr>
            </w:pPr>
          </w:p>
        </w:tc>
        <w:tc>
          <w:tcPr>
            <w:tcW w:w="660" w:type="dxa"/>
            <w:vAlign w:val="bottom"/>
            <w:gridSpan w:val="2"/>
            <w:vMerge w:val="restart"/>
            <w:shd w:val="clear" w:color="auto" w:fill="D9D9D9"/>
          </w:tcPr>
          <w:p>
            <w:pPr>
              <w:jc w:val="center"/>
              <w:ind w:right="340"/>
              <w:spacing w:after="0"/>
              <w:rPr>
                <w:sz w:val="20"/>
                <w:szCs w:val="20"/>
                <w:color w:val="auto"/>
              </w:rPr>
            </w:pPr>
            <w:r>
              <w:rPr>
                <w:rFonts w:ascii="Arial" w:cs="Arial" w:eastAsia="Arial" w:hAnsi="Arial"/>
                <w:sz w:val="16"/>
                <w:szCs w:val="16"/>
                <w:b w:val="1"/>
                <w:bCs w:val="1"/>
                <w:color w:val="auto"/>
              </w:rPr>
              <w:t>X</w:t>
            </w:r>
          </w:p>
        </w:tc>
        <w:tc>
          <w:tcPr>
            <w:tcW w:w="500" w:type="dxa"/>
            <w:vAlign w:val="bottom"/>
            <w:shd w:val="clear" w:color="auto" w:fill="D9D9D9"/>
          </w:tcPr>
          <w:p>
            <w:pPr>
              <w:spacing w:after="0"/>
              <w:rPr>
                <w:sz w:val="13"/>
                <w:szCs w:val="13"/>
                <w:color w:val="auto"/>
              </w:rPr>
            </w:pPr>
          </w:p>
        </w:tc>
        <w:tc>
          <w:tcPr>
            <w:tcW w:w="800" w:type="dxa"/>
            <w:vAlign w:val="bottom"/>
            <w:gridSpan w:val="2"/>
            <w:vMerge w:val="restart"/>
            <w:shd w:val="clear" w:color="auto" w:fill="D9D9D9"/>
          </w:tcPr>
          <w:p>
            <w:pPr>
              <w:jc w:val="center"/>
              <w:ind w:right="480"/>
              <w:spacing w:after="0"/>
              <w:rPr>
                <w:sz w:val="20"/>
                <w:szCs w:val="20"/>
                <w:color w:val="auto"/>
              </w:rPr>
            </w:pPr>
            <w:r>
              <w:rPr>
                <w:rFonts w:ascii="Arial" w:cs="Arial" w:eastAsia="Arial" w:hAnsi="Arial"/>
                <w:sz w:val="16"/>
                <w:szCs w:val="16"/>
                <w:b w:val="1"/>
                <w:bCs w:val="1"/>
                <w:color w:val="auto"/>
              </w:rPr>
              <w:t>X</w:t>
            </w:r>
          </w:p>
        </w:tc>
        <w:tc>
          <w:tcPr>
            <w:tcW w:w="380" w:type="dxa"/>
            <w:vAlign w:val="bottom"/>
            <w:shd w:val="clear" w:color="auto" w:fill="D9D9D9"/>
          </w:tcPr>
          <w:p>
            <w:pPr>
              <w:spacing w:after="0"/>
              <w:rPr>
                <w:sz w:val="13"/>
                <w:szCs w:val="13"/>
                <w:color w:val="auto"/>
              </w:rPr>
            </w:pPr>
          </w:p>
        </w:tc>
        <w:tc>
          <w:tcPr>
            <w:tcW w:w="720" w:type="dxa"/>
            <w:vAlign w:val="bottom"/>
            <w:gridSpan w:val="2"/>
            <w:vMerge w:val="restart"/>
            <w:shd w:val="clear" w:color="auto" w:fill="D9D9D9"/>
          </w:tcPr>
          <w:p>
            <w:pPr>
              <w:jc w:val="center"/>
              <w:ind w:right="400"/>
              <w:spacing w:after="0"/>
              <w:rPr>
                <w:sz w:val="20"/>
                <w:szCs w:val="20"/>
                <w:color w:val="auto"/>
              </w:rPr>
            </w:pPr>
            <w:r>
              <w:rPr>
                <w:rFonts w:ascii="Arial" w:cs="Arial" w:eastAsia="Arial" w:hAnsi="Arial"/>
                <w:sz w:val="16"/>
                <w:szCs w:val="16"/>
                <w:b w:val="1"/>
                <w:bCs w:val="1"/>
                <w:color w:val="auto"/>
              </w:rPr>
              <w:t>X</w:t>
            </w:r>
          </w:p>
        </w:tc>
        <w:tc>
          <w:tcPr>
            <w:tcW w:w="400" w:type="dxa"/>
            <w:vAlign w:val="bottom"/>
            <w:shd w:val="clear" w:color="auto" w:fill="D9D9D9"/>
          </w:tcPr>
          <w:p>
            <w:pPr>
              <w:spacing w:after="0"/>
              <w:rPr>
                <w:sz w:val="13"/>
                <w:szCs w:val="13"/>
                <w:color w:val="auto"/>
              </w:rPr>
            </w:pPr>
          </w:p>
        </w:tc>
        <w:tc>
          <w:tcPr>
            <w:tcW w:w="740" w:type="dxa"/>
            <w:vAlign w:val="bottom"/>
            <w:gridSpan w:val="2"/>
            <w:vMerge w:val="restart"/>
            <w:shd w:val="clear" w:color="auto" w:fill="D9D9D9"/>
          </w:tcPr>
          <w:p>
            <w:pPr>
              <w:jc w:val="center"/>
              <w:ind w:right="440"/>
              <w:spacing w:after="0"/>
              <w:rPr>
                <w:sz w:val="20"/>
                <w:szCs w:val="20"/>
                <w:color w:val="auto"/>
              </w:rPr>
            </w:pPr>
            <w:r>
              <w:rPr>
                <w:rFonts w:ascii="Arial" w:cs="Arial" w:eastAsia="Arial" w:hAnsi="Arial"/>
                <w:sz w:val="16"/>
                <w:szCs w:val="16"/>
                <w:b w:val="1"/>
                <w:bCs w:val="1"/>
                <w:color w:val="auto"/>
                <w:w w:val="93"/>
              </w:rPr>
              <w:t>X</w:t>
            </w:r>
          </w:p>
        </w:tc>
        <w:tc>
          <w:tcPr>
            <w:tcW w:w="360" w:type="dxa"/>
            <w:vAlign w:val="bottom"/>
            <w:shd w:val="clear" w:color="auto" w:fill="D9D9D9"/>
          </w:tcPr>
          <w:p>
            <w:pPr>
              <w:spacing w:after="0"/>
              <w:rPr>
                <w:sz w:val="13"/>
                <w:szCs w:val="13"/>
                <w:color w:val="auto"/>
              </w:rPr>
            </w:pPr>
          </w:p>
        </w:tc>
        <w:tc>
          <w:tcPr>
            <w:tcW w:w="660" w:type="dxa"/>
            <w:vAlign w:val="bottom"/>
            <w:gridSpan w:val="2"/>
            <w:vMerge w:val="restart"/>
            <w:shd w:val="clear" w:color="auto" w:fill="D9D9D9"/>
          </w:tcPr>
          <w:p>
            <w:pPr>
              <w:jc w:val="center"/>
              <w:ind w:right="340"/>
              <w:spacing w:after="0"/>
              <w:rPr>
                <w:sz w:val="20"/>
                <w:szCs w:val="20"/>
                <w:color w:val="auto"/>
              </w:rPr>
            </w:pPr>
            <w:r>
              <w:rPr>
                <w:rFonts w:ascii="Arial" w:cs="Arial" w:eastAsia="Arial" w:hAnsi="Arial"/>
                <w:sz w:val="16"/>
                <w:szCs w:val="16"/>
                <w:b w:val="1"/>
                <w:bCs w:val="1"/>
                <w:color w:val="auto"/>
              </w:rPr>
              <w:t>X</w:t>
            </w:r>
          </w:p>
        </w:tc>
        <w:tc>
          <w:tcPr>
            <w:tcW w:w="520" w:type="dxa"/>
            <w:vAlign w:val="bottom"/>
            <w:shd w:val="clear" w:color="auto" w:fill="D9D9D9"/>
          </w:tcPr>
          <w:p>
            <w:pPr>
              <w:spacing w:after="0"/>
              <w:rPr>
                <w:sz w:val="13"/>
                <w:szCs w:val="13"/>
                <w:color w:val="auto"/>
              </w:rPr>
            </w:pPr>
          </w:p>
        </w:tc>
        <w:tc>
          <w:tcPr>
            <w:tcW w:w="820" w:type="dxa"/>
            <w:vAlign w:val="bottom"/>
            <w:gridSpan w:val="2"/>
            <w:vMerge w:val="restart"/>
            <w:shd w:val="clear" w:color="auto" w:fill="D9D9D9"/>
          </w:tcPr>
          <w:p>
            <w:pPr>
              <w:jc w:val="center"/>
              <w:ind w:right="500"/>
              <w:spacing w:after="0"/>
              <w:rPr>
                <w:sz w:val="20"/>
                <w:szCs w:val="20"/>
                <w:color w:val="auto"/>
              </w:rPr>
            </w:pPr>
            <w:r>
              <w:rPr>
                <w:rFonts w:ascii="Arial" w:cs="Arial" w:eastAsia="Arial" w:hAnsi="Arial"/>
                <w:sz w:val="16"/>
                <w:szCs w:val="16"/>
                <w:b w:val="1"/>
                <w:bCs w:val="1"/>
                <w:color w:val="auto"/>
              </w:rPr>
              <w:t>X</w:t>
            </w:r>
          </w:p>
        </w:tc>
        <w:tc>
          <w:tcPr>
            <w:tcW w:w="340" w:type="dxa"/>
            <w:vAlign w:val="bottom"/>
            <w:shd w:val="clear" w:color="auto" w:fill="D9D9D9"/>
          </w:tcPr>
          <w:p>
            <w:pPr>
              <w:spacing w:after="0"/>
              <w:rPr>
                <w:sz w:val="13"/>
                <w:szCs w:val="13"/>
                <w:color w:val="auto"/>
              </w:rPr>
            </w:pPr>
          </w:p>
        </w:tc>
        <w:tc>
          <w:tcPr>
            <w:tcW w:w="40" w:type="dxa"/>
            <w:vAlign w:val="bottom"/>
            <w:shd w:val="clear" w:color="auto" w:fill="D9D9D9"/>
          </w:tcPr>
          <w:p>
            <w:pPr>
              <w:spacing w:after="0"/>
              <w:rPr>
                <w:sz w:val="13"/>
                <w:szCs w:val="13"/>
                <w:color w:val="auto"/>
              </w:rPr>
            </w:pPr>
          </w:p>
        </w:tc>
        <w:tc>
          <w:tcPr>
            <w:tcW w:w="740" w:type="dxa"/>
            <w:vAlign w:val="bottom"/>
            <w:gridSpan w:val="3"/>
            <w:vMerge w:val="restart"/>
            <w:shd w:val="clear" w:color="auto" w:fill="D9D9D9"/>
          </w:tcPr>
          <w:p>
            <w:pPr>
              <w:jc w:val="center"/>
              <w:ind w:right="420"/>
              <w:spacing w:after="0"/>
              <w:rPr>
                <w:sz w:val="20"/>
                <w:szCs w:val="20"/>
                <w:color w:val="auto"/>
              </w:rPr>
            </w:pPr>
            <w:r>
              <w:rPr>
                <w:rFonts w:ascii="Arial" w:cs="Arial" w:eastAsia="Arial" w:hAnsi="Arial"/>
                <w:sz w:val="16"/>
                <w:szCs w:val="16"/>
                <w:b w:val="1"/>
                <w:bCs w:val="1"/>
                <w:color w:val="auto"/>
              </w:rPr>
              <w:t>X</w:t>
            </w:r>
          </w:p>
        </w:tc>
        <w:tc>
          <w:tcPr>
            <w:tcW w:w="360" w:type="dxa"/>
            <w:vAlign w:val="bottom"/>
            <w:shd w:val="clear" w:color="auto" w:fill="D9D9D9"/>
          </w:tcPr>
          <w:p>
            <w:pPr>
              <w:spacing w:after="0"/>
              <w:rPr>
                <w:sz w:val="13"/>
                <w:szCs w:val="13"/>
                <w:color w:val="auto"/>
              </w:rPr>
            </w:pPr>
          </w:p>
        </w:tc>
        <w:tc>
          <w:tcPr>
            <w:tcW w:w="720" w:type="dxa"/>
            <w:vAlign w:val="bottom"/>
            <w:gridSpan w:val="2"/>
            <w:vMerge w:val="restart"/>
            <w:shd w:val="clear" w:color="auto" w:fill="D9D9D9"/>
          </w:tcPr>
          <w:p>
            <w:pPr>
              <w:jc w:val="center"/>
              <w:ind w:right="400"/>
              <w:spacing w:after="0"/>
              <w:rPr>
                <w:sz w:val="20"/>
                <w:szCs w:val="20"/>
                <w:color w:val="auto"/>
              </w:rPr>
            </w:pPr>
            <w:r>
              <w:rPr>
                <w:rFonts w:ascii="Arial" w:cs="Arial" w:eastAsia="Arial" w:hAnsi="Arial"/>
                <w:sz w:val="16"/>
                <w:szCs w:val="16"/>
                <w:b w:val="1"/>
                <w:bCs w:val="1"/>
                <w:color w:val="auto"/>
                <w:w w:val="99"/>
              </w:rPr>
              <w:t>YES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200" w:type="dxa"/>
            <w:vAlign w:val="bottom"/>
            <w:vMerge w:val="restart"/>
            <w:shd w:val="clear" w:color="auto" w:fill="D9D9D9"/>
          </w:tcPr>
          <w:p>
            <w:pPr>
              <w:jc w:val="center"/>
              <w:spacing w:after="0"/>
              <w:rPr>
                <w:sz w:val="20"/>
                <w:szCs w:val="20"/>
                <w:color w:val="auto"/>
              </w:rPr>
            </w:pPr>
            <w:r>
              <w:rPr>
                <w:rFonts w:ascii="Arial" w:cs="Arial" w:eastAsia="Arial" w:hAnsi="Arial"/>
                <w:sz w:val="13"/>
                <w:szCs w:val="13"/>
                <w:b w:val="1"/>
                <w:bCs w:val="1"/>
                <w:color w:val="auto"/>
                <w:w w:val="92"/>
              </w:rPr>
              <w:t>Barr, Jr.</w:t>
            </w:r>
          </w:p>
        </w:tc>
        <w:tc>
          <w:tcPr>
            <w:tcW w:w="300" w:type="dxa"/>
            <w:vAlign w:val="bottom"/>
            <w:shd w:val="clear" w:color="auto" w:fill="D9D9D9"/>
          </w:tcPr>
          <w:p>
            <w:pPr>
              <w:spacing w:after="0"/>
              <w:rPr>
                <w:sz w:val="6"/>
                <w:szCs w:val="6"/>
                <w:color w:val="auto"/>
              </w:rPr>
            </w:pPr>
          </w:p>
        </w:tc>
        <w:tc>
          <w:tcPr>
            <w:tcW w:w="620" w:type="dxa"/>
            <w:vAlign w:val="bottom"/>
            <w:gridSpan w:val="2"/>
            <w:vMerge w:val="continue"/>
            <w:shd w:val="clear" w:color="auto" w:fill="D9D9D9"/>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660" w:type="dxa"/>
            <w:vAlign w:val="bottom"/>
            <w:gridSpan w:val="2"/>
            <w:vMerge w:val="continue"/>
            <w:shd w:val="clear" w:color="auto" w:fill="D9D9D9"/>
          </w:tcPr>
          <w:p>
            <w:pPr>
              <w:spacing w:after="0"/>
              <w:rPr>
                <w:sz w:val="6"/>
                <w:szCs w:val="6"/>
                <w:color w:val="auto"/>
              </w:rPr>
            </w:pPr>
          </w:p>
        </w:tc>
        <w:tc>
          <w:tcPr>
            <w:tcW w:w="500" w:type="dxa"/>
            <w:vAlign w:val="bottom"/>
            <w:shd w:val="clear" w:color="auto" w:fill="D9D9D9"/>
          </w:tcPr>
          <w:p>
            <w:pPr>
              <w:spacing w:after="0"/>
              <w:rPr>
                <w:sz w:val="6"/>
                <w:szCs w:val="6"/>
                <w:color w:val="auto"/>
              </w:rPr>
            </w:pPr>
          </w:p>
        </w:tc>
        <w:tc>
          <w:tcPr>
            <w:tcW w:w="800" w:type="dxa"/>
            <w:vAlign w:val="bottom"/>
            <w:gridSpan w:val="2"/>
            <w:vMerge w:val="continue"/>
            <w:shd w:val="clear" w:color="auto" w:fill="D9D9D9"/>
          </w:tcPr>
          <w:p>
            <w:pPr>
              <w:spacing w:after="0"/>
              <w:rPr>
                <w:sz w:val="6"/>
                <w:szCs w:val="6"/>
                <w:color w:val="auto"/>
              </w:rPr>
            </w:pPr>
          </w:p>
        </w:tc>
        <w:tc>
          <w:tcPr>
            <w:tcW w:w="380" w:type="dxa"/>
            <w:vAlign w:val="bottom"/>
            <w:shd w:val="clear" w:color="auto" w:fill="D9D9D9"/>
          </w:tcPr>
          <w:p>
            <w:pPr>
              <w:spacing w:after="0"/>
              <w:rPr>
                <w:sz w:val="6"/>
                <w:szCs w:val="6"/>
                <w:color w:val="auto"/>
              </w:rPr>
            </w:pPr>
          </w:p>
        </w:tc>
        <w:tc>
          <w:tcPr>
            <w:tcW w:w="720" w:type="dxa"/>
            <w:vAlign w:val="bottom"/>
            <w:gridSpan w:val="2"/>
            <w:vMerge w:val="continue"/>
            <w:shd w:val="clear" w:color="auto" w:fill="D9D9D9"/>
          </w:tcPr>
          <w:p>
            <w:pPr>
              <w:spacing w:after="0"/>
              <w:rPr>
                <w:sz w:val="6"/>
                <w:szCs w:val="6"/>
                <w:color w:val="auto"/>
              </w:rPr>
            </w:pPr>
          </w:p>
        </w:tc>
        <w:tc>
          <w:tcPr>
            <w:tcW w:w="400" w:type="dxa"/>
            <w:vAlign w:val="bottom"/>
            <w:shd w:val="clear" w:color="auto" w:fill="D9D9D9"/>
          </w:tcPr>
          <w:p>
            <w:pPr>
              <w:spacing w:after="0"/>
              <w:rPr>
                <w:sz w:val="6"/>
                <w:szCs w:val="6"/>
                <w:color w:val="auto"/>
              </w:rPr>
            </w:pPr>
          </w:p>
        </w:tc>
        <w:tc>
          <w:tcPr>
            <w:tcW w:w="740" w:type="dxa"/>
            <w:vAlign w:val="bottom"/>
            <w:gridSpan w:val="2"/>
            <w:vMerge w:val="continue"/>
            <w:shd w:val="clear" w:color="auto" w:fill="D9D9D9"/>
          </w:tcPr>
          <w:p>
            <w:pPr>
              <w:spacing w:after="0"/>
              <w:rPr>
                <w:sz w:val="6"/>
                <w:szCs w:val="6"/>
                <w:color w:val="auto"/>
              </w:rPr>
            </w:pPr>
          </w:p>
        </w:tc>
        <w:tc>
          <w:tcPr>
            <w:tcW w:w="360" w:type="dxa"/>
            <w:vAlign w:val="bottom"/>
            <w:shd w:val="clear" w:color="auto" w:fill="D9D9D9"/>
          </w:tcPr>
          <w:p>
            <w:pPr>
              <w:spacing w:after="0"/>
              <w:rPr>
                <w:sz w:val="6"/>
                <w:szCs w:val="6"/>
                <w:color w:val="auto"/>
              </w:rPr>
            </w:pPr>
          </w:p>
        </w:tc>
        <w:tc>
          <w:tcPr>
            <w:tcW w:w="660" w:type="dxa"/>
            <w:vAlign w:val="bottom"/>
            <w:gridSpan w:val="2"/>
            <w:vMerge w:val="continue"/>
            <w:shd w:val="clear" w:color="auto" w:fill="D9D9D9"/>
          </w:tcPr>
          <w:p>
            <w:pPr>
              <w:spacing w:after="0"/>
              <w:rPr>
                <w:sz w:val="6"/>
                <w:szCs w:val="6"/>
                <w:color w:val="auto"/>
              </w:rPr>
            </w:pPr>
          </w:p>
        </w:tc>
        <w:tc>
          <w:tcPr>
            <w:tcW w:w="520" w:type="dxa"/>
            <w:vAlign w:val="bottom"/>
            <w:shd w:val="clear" w:color="auto" w:fill="D9D9D9"/>
          </w:tcPr>
          <w:p>
            <w:pPr>
              <w:spacing w:after="0"/>
              <w:rPr>
                <w:sz w:val="6"/>
                <w:szCs w:val="6"/>
                <w:color w:val="auto"/>
              </w:rPr>
            </w:pPr>
          </w:p>
        </w:tc>
        <w:tc>
          <w:tcPr>
            <w:tcW w:w="820" w:type="dxa"/>
            <w:vAlign w:val="bottom"/>
            <w:gridSpan w:val="2"/>
            <w:vMerge w:val="continue"/>
            <w:shd w:val="clear" w:color="auto" w:fill="D9D9D9"/>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40" w:type="dxa"/>
            <w:vAlign w:val="bottom"/>
            <w:shd w:val="clear" w:color="auto" w:fill="D9D9D9"/>
          </w:tcPr>
          <w:p>
            <w:pPr>
              <w:spacing w:after="0"/>
              <w:rPr>
                <w:sz w:val="6"/>
                <w:szCs w:val="6"/>
                <w:color w:val="auto"/>
              </w:rPr>
            </w:pPr>
          </w:p>
        </w:tc>
        <w:tc>
          <w:tcPr>
            <w:tcW w:w="740" w:type="dxa"/>
            <w:vAlign w:val="bottom"/>
            <w:gridSpan w:val="3"/>
            <w:vMerge w:val="continue"/>
            <w:shd w:val="clear" w:color="auto" w:fill="D9D9D9"/>
          </w:tcPr>
          <w:p>
            <w:pPr>
              <w:spacing w:after="0"/>
              <w:rPr>
                <w:sz w:val="6"/>
                <w:szCs w:val="6"/>
                <w:color w:val="auto"/>
              </w:rPr>
            </w:pPr>
          </w:p>
        </w:tc>
        <w:tc>
          <w:tcPr>
            <w:tcW w:w="360" w:type="dxa"/>
            <w:vAlign w:val="bottom"/>
            <w:shd w:val="clear" w:color="auto" w:fill="D9D9D9"/>
          </w:tcPr>
          <w:p>
            <w:pPr>
              <w:spacing w:after="0"/>
              <w:rPr>
                <w:sz w:val="6"/>
                <w:szCs w:val="6"/>
                <w:color w:val="auto"/>
              </w:rPr>
            </w:pPr>
          </w:p>
        </w:tc>
        <w:tc>
          <w:tcPr>
            <w:tcW w:w="720" w:type="dxa"/>
            <w:vAlign w:val="bottom"/>
            <w:gridSpan w:val="2"/>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auto"/>
            </w:tcBorders>
          </w:tcPr>
          <w:p>
            <w:pPr>
              <w:spacing w:after="0"/>
              <w:rPr>
                <w:sz w:val="7"/>
                <w:szCs w:val="7"/>
                <w:color w:val="auto"/>
              </w:rPr>
            </w:pPr>
          </w:p>
        </w:tc>
        <w:tc>
          <w:tcPr>
            <w:tcW w:w="1200" w:type="dxa"/>
            <w:vAlign w:val="bottom"/>
            <w:tcBorders>
              <w:top w:val="single" w:sz="8" w:color="D9D9D9"/>
              <w:bottom w:val="single" w:sz="8" w:color="auto"/>
            </w:tcBorders>
            <w:vMerge w:val="continue"/>
            <w:shd w:val="clear" w:color="auto" w:fill="D9D9D9"/>
          </w:tcPr>
          <w:p>
            <w:pPr>
              <w:spacing w:after="0"/>
              <w:rPr>
                <w:sz w:val="7"/>
                <w:szCs w:val="7"/>
                <w:color w:val="auto"/>
              </w:rPr>
            </w:pPr>
          </w:p>
        </w:tc>
        <w:tc>
          <w:tcPr>
            <w:tcW w:w="300" w:type="dxa"/>
            <w:vAlign w:val="bottom"/>
            <w:tcBorders>
              <w:top w:val="single" w:sz="8" w:color="D9D9D9"/>
              <w:bottom w:val="single" w:sz="8" w:color="auto"/>
            </w:tcBorders>
            <w:shd w:val="clear" w:color="auto" w:fill="D9D9D9"/>
          </w:tcPr>
          <w:p>
            <w:pPr>
              <w:spacing w:after="0"/>
              <w:rPr>
                <w:sz w:val="7"/>
                <w:szCs w:val="7"/>
                <w:color w:val="auto"/>
              </w:rPr>
            </w:pPr>
          </w:p>
        </w:tc>
        <w:tc>
          <w:tcPr>
            <w:tcW w:w="320" w:type="dxa"/>
            <w:vAlign w:val="bottom"/>
            <w:tcBorders>
              <w:top w:val="single" w:sz="8" w:color="D9D9D9"/>
              <w:bottom w:val="single" w:sz="8" w:color="auto"/>
            </w:tcBorders>
            <w:shd w:val="clear" w:color="auto" w:fill="D9D9D9"/>
          </w:tcPr>
          <w:p>
            <w:pPr>
              <w:spacing w:after="0"/>
              <w:rPr>
                <w:sz w:val="7"/>
                <w:szCs w:val="7"/>
                <w:color w:val="auto"/>
              </w:rPr>
            </w:pPr>
          </w:p>
        </w:tc>
        <w:tc>
          <w:tcPr>
            <w:tcW w:w="300" w:type="dxa"/>
            <w:vAlign w:val="bottom"/>
            <w:tcBorders>
              <w:top w:val="single" w:sz="8" w:color="D9D9D9"/>
              <w:bottom w:val="single" w:sz="8" w:color="auto"/>
            </w:tcBorders>
            <w:shd w:val="clear" w:color="auto" w:fill="D9D9D9"/>
          </w:tcPr>
          <w:p>
            <w:pPr>
              <w:spacing w:after="0"/>
              <w:rPr>
                <w:sz w:val="7"/>
                <w:szCs w:val="7"/>
                <w:color w:val="auto"/>
              </w:rPr>
            </w:pPr>
          </w:p>
        </w:tc>
        <w:tc>
          <w:tcPr>
            <w:tcW w:w="340" w:type="dxa"/>
            <w:vAlign w:val="bottom"/>
            <w:tcBorders>
              <w:top w:val="single" w:sz="8" w:color="D9D9D9"/>
              <w:bottom w:val="single" w:sz="8" w:color="auto"/>
            </w:tcBorders>
            <w:shd w:val="clear" w:color="auto" w:fill="D9D9D9"/>
          </w:tcPr>
          <w:p>
            <w:pPr>
              <w:spacing w:after="0"/>
              <w:rPr>
                <w:sz w:val="7"/>
                <w:szCs w:val="7"/>
                <w:color w:val="auto"/>
              </w:rPr>
            </w:pPr>
          </w:p>
        </w:tc>
        <w:tc>
          <w:tcPr>
            <w:tcW w:w="320" w:type="dxa"/>
            <w:vAlign w:val="bottom"/>
            <w:tcBorders>
              <w:top w:val="single" w:sz="8" w:color="D9D9D9"/>
              <w:bottom w:val="single" w:sz="8" w:color="auto"/>
            </w:tcBorders>
            <w:shd w:val="clear" w:color="auto" w:fill="D9D9D9"/>
          </w:tcPr>
          <w:p>
            <w:pPr>
              <w:spacing w:after="0"/>
              <w:rPr>
                <w:sz w:val="7"/>
                <w:szCs w:val="7"/>
                <w:color w:val="auto"/>
              </w:rPr>
            </w:pPr>
          </w:p>
        </w:tc>
        <w:tc>
          <w:tcPr>
            <w:tcW w:w="340" w:type="dxa"/>
            <w:vAlign w:val="bottom"/>
            <w:tcBorders>
              <w:top w:val="single" w:sz="8" w:color="D9D9D9"/>
              <w:bottom w:val="single" w:sz="8" w:color="auto"/>
            </w:tcBorders>
            <w:shd w:val="clear" w:color="auto" w:fill="D9D9D9"/>
          </w:tcPr>
          <w:p>
            <w:pPr>
              <w:spacing w:after="0"/>
              <w:rPr>
                <w:sz w:val="7"/>
                <w:szCs w:val="7"/>
                <w:color w:val="auto"/>
              </w:rPr>
            </w:pPr>
          </w:p>
        </w:tc>
        <w:tc>
          <w:tcPr>
            <w:tcW w:w="500" w:type="dxa"/>
            <w:vAlign w:val="bottom"/>
            <w:tcBorders>
              <w:top w:val="single" w:sz="8" w:color="D9D9D9"/>
              <w:bottom w:val="single" w:sz="8" w:color="auto"/>
            </w:tcBorders>
            <w:shd w:val="clear" w:color="auto" w:fill="D9D9D9"/>
          </w:tcPr>
          <w:p>
            <w:pPr>
              <w:spacing w:after="0"/>
              <w:rPr>
                <w:sz w:val="7"/>
                <w:szCs w:val="7"/>
                <w:color w:val="auto"/>
              </w:rPr>
            </w:pPr>
          </w:p>
        </w:tc>
        <w:tc>
          <w:tcPr>
            <w:tcW w:w="320" w:type="dxa"/>
            <w:vAlign w:val="bottom"/>
            <w:tcBorders>
              <w:top w:val="single" w:sz="8" w:color="D9D9D9"/>
              <w:bottom w:val="single" w:sz="8" w:color="auto"/>
            </w:tcBorders>
            <w:shd w:val="clear" w:color="auto" w:fill="D9D9D9"/>
          </w:tcPr>
          <w:p>
            <w:pPr>
              <w:spacing w:after="0"/>
              <w:rPr>
                <w:sz w:val="7"/>
                <w:szCs w:val="7"/>
                <w:color w:val="auto"/>
              </w:rPr>
            </w:pPr>
          </w:p>
        </w:tc>
        <w:tc>
          <w:tcPr>
            <w:tcW w:w="480" w:type="dxa"/>
            <w:vAlign w:val="bottom"/>
            <w:tcBorders>
              <w:top w:val="single" w:sz="8" w:color="D9D9D9"/>
              <w:bottom w:val="single" w:sz="8" w:color="auto"/>
            </w:tcBorders>
            <w:shd w:val="clear" w:color="auto" w:fill="D9D9D9"/>
          </w:tcPr>
          <w:p>
            <w:pPr>
              <w:spacing w:after="0"/>
              <w:rPr>
                <w:sz w:val="7"/>
                <w:szCs w:val="7"/>
                <w:color w:val="auto"/>
              </w:rPr>
            </w:pPr>
          </w:p>
        </w:tc>
        <w:tc>
          <w:tcPr>
            <w:tcW w:w="380" w:type="dxa"/>
            <w:vAlign w:val="bottom"/>
            <w:tcBorders>
              <w:top w:val="single" w:sz="8" w:color="D9D9D9"/>
              <w:bottom w:val="single" w:sz="8" w:color="auto"/>
            </w:tcBorders>
            <w:shd w:val="clear" w:color="auto" w:fill="D9D9D9"/>
          </w:tcPr>
          <w:p>
            <w:pPr>
              <w:spacing w:after="0"/>
              <w:rPr>
                <w:sz w:val="7"/>
                <w:szCs w:val="7"/>
                <w:color w:val="auto"/>
              </w:rPr>
            </w:pPr>
          </w:p>
        </w:tc>
        <w:tc>
          <w:tcPr>
            <w:tcW w:w="320" w:type="dxa"/>
            <w:vAlign w:val="bottom"/>
            <w:tcBorders>
              <w:top w:val="single" w:sz="8" w:color="D9D9D9"/>
              <w:bottom w:val="single" w:sz="8" w:color="auto"/>
            </w:tcBorders>
            <w:shd w:val="clear" w:color="auto" w:fill="D9D9D9"/>
          </w:tcPr>
          <w:p>
            <w:pPr>
              <w:spacing w:after="0"/>
              <w:rPr>
                <w:sz w:val="7"/>
                <w:szCs w:val="7"/>
                <w:color w:val="auto"/>
              </w:rPr>
            </w:pPr>
          </w:p>
        </w:tc>
        <w:tc>
          <w:tcPr>
            <w:tcW w:w="400" w:type="dxa"/>
            <w:vAlign w:val="bottom"/>
            <w:tcBorders>
              <w:top w:val="single" w:sz="8" w:color="D9D9D9"/>
              <w:bottom w:val="single" w:sz="8" w:color="auto"/>
            </w:tcBorders>
            <w:shd w:val="clear" w:color="auto" w:fill="D9D9D9"/>
          </w:tcPr>
          <w:p>
            <w:pPr>
              <w:spacing w:after="0"/>
              <w:rPr>
                <w:sz w:val="7"/>
                <w:szCs w:val="7"/>
                <w:color w:val="auto"/>
              </w:rPr>
            </w:pPr>
          </w:p>
        </w:tc>
        <w:tc>
          <w:tcPr>
            <w:tcW w:w="400" w:type="dxa"/>
            <w:vAlign w:val="bottom"/>
            <w:tcBorders>
              <w:top w:val="single" w:sz="8" w:color="D9D9D9"/>
              <w:bottom w:val="single" w:sz="8" w:color="auto"/>
            </w:tcBorders>
            <w:shd w:val="clear" w:color="auto" w:fill="D9D9D9"/>
          </w:tcPr>
          <w:p>
            <w:pPr>
              <w:spacing w:after="0"/>
              <w:rPr>
                <w:sz w:val="7"/>
                <w:szCs w:val="7"/>
                <w:color w:val="auto"/>
              </w:rPr>
            </w:pPr>
          </w:p>
        </w:tc>
        <w:tc>
          <w:tcPr>
            <w:tcW w:w="300" w:type="dxa"/>
            <w:vAlign w:val="bottom"/>
            <w:tcBorders>
              <w:top w:val="single" w:sz="8" w:color="D9D9D9"/>
              <w:bottom w:val="single" w:sz="8" w:color="auto"/>
            </w:tcBorders>
            <w:shd w:val="clear" w:color="auto" w:fill="D9D9D9"/>
          </w:tcPr>
          <w:p>
            <w:pPr>
              <w:spacing w:after="0"/>
              <w:rPr>
                <w:sz w:val="7"/>
                <w:szCs w:val="7"/>
                <w:color w:val="auto"/>
              </w:rPr>
            </w:pPr>
          </w:p>
        </w:tc>
        <w:tc>
          <w:tcPr>
            <w:tcW w:w="440" w:type="dxa"/>
            <w:vAlign w:val="bottom"/>
            <w:tcBorders>
              <w:top w:val="single" w:sz="8" w:color="D9D9D9"/>
              <w:bottom w:val="single" w:sz="8" w:color="auto"/>
            </w:tcBorders>
            <w:shd w:val="clear" w:color="auto" w:fill="D9D9D9"/>
          </w:tcPr>
          <w:p>
            <w:pPr>
              <w:spacing w:after="0"/>
              <w:rPr>
                <w:sz w:val="7"/>
                <w:szCs w:val="7"/>
                <w:color w:val="auto"/>
              </w:rPr>
            </w:pPr>
          </w:p>
        </w:tc>
        <w:tc>
          <w:tcPr>
            <w:tcW w:w="360" w:type="dxa"/>
            <w:vAlign w:val="bottom"/>
            <w:tcBorders>
              <w:top w:val="single" w:sz="8" w:color="D9D9D9"/>
              <w:bottom w:val="single" w:sz="8" w:color="auto"/>
            </w:tcBorders>
            <w:shd w:val="clear" w:color="auto" w:fill="D9D9D9"/>
          </w:tcPr>
          <w:p>
            <w:pPr>
              <w:spacing w:after="0"/>
              <w:rPr>
                <w:sz w:val="7"/>
                <w:szCs w:val="7"/>
                <w:color w:val="auto"/>
              </w:rPr>
            </w:pPr>
          </w:p>
        </w:tc>
        <w:tc>
          <w:tcPr>
            <w:tcW w:w="320" w:type="dxa"/>
            <w:vAlign w:val="bottom"/>
            <w:tcBorders>
              <w:top w:val="single" w:sz="8" w:color="D9D9D9"/>
              <w:bottom w:val="single" w:sz="8" w:color="auto"/>
            </w:tcBorders>
            <w:shd w:val="clear" w:color="auto" w:fill="D9D9D9"/>
          </w:tcPr>
          <w:p>
            <w:pPr>
              <w:spacing w:after="0"/>
              <w:rPr>
                <w:sz w:val="7"/>
                <w:szCs w:val="7"/>
                <w:color w:val="auto"/>
              </w:rPr>
            </w:pPr>
          </w:p>
        </w:tc>
        <w:tc>
          <w:tcPr>
            <w:tcW w:w="340" w:type="dxa"/>
            <w:vAlign w:val="bottom"/>
            <w:tcBorders>
              <w:top w:val="single" w:sz="8" w:color="D9D9D9"/>
              <w:bottom w:val="single" w:sz="8" w:color="auto"/>
            </w:tcBorders>
            <w:shd w:val="clear" w:color="auto" w:fill="D9D9D9"/>
          </w:tcPr>
          <w:p>
            <w:pPr>
              <w:spacing w:after="0"/>
              <w:rPr>
                <w:sz w:val="7"/>
                <w:szCs w:val="7"/>
                <w:color w:val="auto"/>
              </w:rPr>
            </w:pPr>
          </w:p>
        </w:tc>
        <w:tc>
          <w:tcPr>
            <w:tcW w:w="520" w:type="dxa"/>
            <w:vAlign w:val="bottom"/>
            <w:tcBorders>
              <w:top w:val="single" w:sz="8" w:color="D9D9D9"/>
              <w:bottom w:val="single" w:sz="8" w:color="auto"/>
            </w:tcBorders>
            <w:shd w:val="clear" w:color="auto" w:fill="D9D9D9"/>
          </w:tcPr>
          <w:p>
            <w:pPr>
              <w:spacing w:after="0"/>
              <w:rPr>
                <w:sz w:val="7"/>
                <w:szCs w:val="7"/>
                <w:color w:val="auto"/>
              </w:rPr>
            </w:pPr>
          </w:p>
        </w:tc>
        <w:tc>
          <w:tcPr>
            <w:tcW w:w="320" w:type="dxa"/>
            <w:vAlign w:val="bottom"/>
            <w:tcBorders>
              <w:top w:val="single" w:sz="8" w:color="D9D9D9"/>
              <w:bottom w:val="single" w:sz="8" w:color="auto"/>
            </w:tcBorders>
            <w:shd w:val="clear" w:color="auto" w:fill="D9D9D9"/>
          </w:tcPr>
          <w:p>
            <w:pPr>
              <w:spacing w:after="0"/>
              <w:rPr>
                <w:sz w:val="7"/>
                <w:szCs w:val="7"/>
                <w:color w:val="auto"/>
              </w:rPr>
            </w:pPr>
          </w:p>
        </w:tc>
        <w:tc>
          <w:tcPr>
            <w:tcW w:w="500" w:type="dxa"/>
            <w:vAlign w:val="bottom"/>
            <w:tcBorders>
              <w:top w:val="single" w:sz="8" w:color="D9D9D9"/>
              <w:bottom w:val="single" w:sz="8" w:color="auto"/>
            </w:tcBorders>
            <w:shd w:val="clear" w:color="auto" w:fill="D9D9D9"/>
          </w:tcPr>
          <w:p>
            <w:pPr>
              <w:spacing w:after="0"/>
              <w:rPr>
                <w:sz w:val="7"/>
                <w:szCs w:val="7"/>
                <w:color w:val="auto"/>
              </w:rPr>
            </w:pPr>
          </w:p>
        </w:tc>
        <w:tc>
          <w:tcPr>
            <w:tcW w:w="340" w:type="dxa"/>
            <w:vAlign w:val="bottom"/>
            <w:tcBorders>
              <w:top w:val="single" w:sz="8" w:color="D9D9D9"/>
              <w:bottom w:val="single" w:sz="8" w:color="auto"/>
            </w:tcBorders>
            <w:shd w:val="clear" w:color="auto" w:fill="D9D9D9"/>
          </w:tcPr>
          <w:p>
            <w:pPr>
              <w:spacing w:after="0"/>
              <w:rPr>
                <w:sz w:val="7"/>
                <w:szCs w:val="7"/>
                <w:color w:val="auto"/>
              </w:rPr>
            </w:pPr>
          </w:p>
        </w:tc>
        <w:tc>
          <w:tcPr>
            <w:tcW w:w="40" w:type="dxa"/>
            <w:vAlign w:val="bottom"/>
            <w:tcBorders>
              <w:top w:val="single" w:sz="8" w:color="D9D9D9"/>
              <w:bottom w:val="single" w:sz="8" w:color="auto"/>
            </w:tcBorders>
            <w:shd w:val="clear" w:color="auto" w:fill="D9D9D9"/>
          </w:tcPr>
          <w:p>
            <w:pPr>
              <w:spacing w:after="0"/>
              <w:rPr>
                <w:sz w:val="7"/>
                <w:szCs w:val="7"/>
                <w:color w:val="auto"/>
              </w:rPr>
            </w:pPr>
          </w:p>
        </w:tc>
        <w:tc>
          <w:tcPr>
            <w:tcW w:w="320" w:type="dxa"/>
            <w:vAlign w:val="bottom"/>
            <w:tcBorders>
              <w:top w:val="single" w:sz="8" w:color="D9D9D9"/>
              <w:bottom w:val="single" w:sz="8" w:color="auto"/>
            </w:tcBorders>
            <w:shd w:val="clear" w:color="auto" w:fill="D9D9D9"/>
          </w:tcPr>
          <w:p>
            <w:pPr>
              <w:spacing w:after="0"/>
              <w:rPr>
                <w:sz w:val="7"/>
                <w:szCs w:val="7"/>
                <w:color w:val="auto"/>
              </w:rPr>
            </w:pPr>
          </w:p>
        </w:tc>
        <w:tc>
          <w:tcPr>
            <w:tcW w:w="40" w:type="dxa"/>
            <w:vAlign w:val="bottom"/>
            <w:tcBorders>
              <w:top w:val="single" w:sz="8" w:color="D9D9D9"/>
              <w:bottom w:val="single" w:sz="8" w:color="auto"/>
            </w:tcBorders>
            <w:shd w:val="clear" w:color="auto" w:fill="D9D9D9"/>
          </w:tcPr>
          <w:p>
            <w:pPr>
              <w:spacing w:after="0"/>
              <w:rPr>
                <w:sz w:val="7"/>
                <w:szCs w:val="7"/>
                <w:color w:val="auto"/>
              </w:rPr>
            </w:pPr>
          </w:p>
        </w:tc>
        <w:tc>
          <w:tcPr>
            <w:tcW w:w="380" w:type="dxa"/>
            <w:vAlign w:val="bottom"/>
            <w:tcBorders>
              <w:top w:val="single" w:sz="8" w:color="D9D9D9"/>
              <w:bottom w:val="single" w:sz="8" w:color="auto"/>
            </w:tcBorders>
            <w:shd w:val="clear" w:color="auto" w:fill="D9D9D9"/>
          </w:tcPr>
          <w:p>
            <w:pPr>
              <w:spacing w:after="0"/>
              <w:rPr>
                <w:sz w:val="7"/>
                <w:szCs w:val="7"/>
                <w:color w:val="auto"/>
              </w:rPr>
            </w:pPr>
          </w:p>
        </w:tc>
        <w:tc>
          <w:tcPr>
            <w:tcW w:w="360" w:type="dxa"/>
            <w:vAlign w:val="bottom"/>
            <w:tcBorders>
              <w:top w:val="single" w:sz="8" w:color="D9D9D9"/>
              <w:bottom w:val="single" w:sz="8" w:color="auto"/>
            </w:tcBorders>
            <w:shd w:val="clear" w:color="auto" w:fill="D9D9D9"/>
          </w:tcPr>
          <w:p>
            <w:pPr>
              <w:spacing w:after="0"/>
              <w:rPr>
                <w:sz w:val="7"/>
                <w:szCs w:val="7"/>
                <w:color w:val="auto"/>
              </w:rPr>
            </w:pPr>
          </w:p>
        </w:tc>
        <w:tc>
          <w:tcPr>
            <w:tcW w:w="320" w:type="dxa"/>
            <w:vAlign w:val="bottom"/>
            <w:tcBorders>
              <w:top w:val="single" w:sz="8" w:color="auto"/>
              <w:bottom w:val="single" w:sz="8" w:color="auto"/>
            </w:tcBorders>
            <w:shd w:val="clear" w:color="auto" w:fill="D9D9D9"/>
          </w:tcPr>
          <w:p>
            <w:pPr>
              <w:spacing w:after="0"/>
              <w:rPr>
                <w:sz w:val="7"/>
                <w:szCs w:val="7"/>
                <w:color w:val="auto"/>
              </w:rPr>
            </w:pPr>
          </w:p>
        </w:tc>
        <w:tc>
          <w:tcPr>
            <w:tcW w:w="400" w:type="dxa"/>
            <w:vAlign w:val="bottom"/>
            <w:tcBorders>
              <w:top w:val="single" w:sz="8" w:color="D9D9D9"/>
              <w:bottom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90"/>
              </w:rPr>
              <w:t>Philip Falcone</w:t>
            </w:r>
          </w:p>
        </w:tc>
        <w:tc>
          <w:tcPr>
            <w:tcW w:w="300" w:type="dxa"/>
            <w:vAlign w:val="bottom"/>
            <w:tcBorders>
              <w:bottom w:val="single" w:sz="8" w:color="auto"/>
            </w:tcBorders>
            <w:shd w:val="clear" w:color="auto" w:fill="D9D9D9"/>
          </w:tcPr>
          <w:p>
            <w:pPr>
              <w:spacing w:after="0"/>
              <w:rPr>
                <w:sz w:val="18"/>
                <w:szCs w:val="18"/>
                <w:color w:val="auto"/>
              </w:rPr>
            </w:pPr>
          </w:p>
        </w:tc>
        <w:tc>
          <w:tcPr>
            <w:tcW w:w="620" w:type="dxa"/>
            <w:vAlign w:val="bottom"/>
            <w:tcBorders>
              <w:bottom w:val="single" w:sz="8" w:color="auto"/>
            </w:tcBorders>
            <w:gridSpan w:val="2"/>
            <w:shd w:val="clear" w:color="auto" w:fill="D9D9D9"/>
          </w:tcPr>
          <w:p>
            <w:pPr>
              <w:jc w:val="center"/>
              <w:ind w:right="300"/>
              <w:spacing w:after="0" w:line="171" w:lineRule="exact"/>
              <w:rPr>
                <w:sz w:val="20"/>
                <w:szCs w:val="20"/>
                <w:color w:val="auto"/>
              </w:rPr>
            </w:pPr>
            <w:r>
              <w:rPr>
                <w:rFonts w:ascii="Arial" w:cs="Arial" w:eastAsia="Arial" w:hAnsi="Arial"/>
                <w:sz w:val="16"/>
                <w:szCs w:val="16"/>
                <w:b w:val="1"/>
                <w:bCs w:val="1"/>
                <w:color w:val="auto"/>
                <w:w w:val="99"/>
              </w:rPr>
              <w:t>YES</w:t>
            </w:r>
          </w:p>
        </w:tc>
        <w:tc>
          <w:tcPr>
            <w:tcW w:w="340" w:type="dxa"/>
            <w:vAlign w:val="bottom"/>
            <w:tcBorders>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gridSpan w:val="2"/>
            <w:shd w:val="clear" w:color="auto" w:fill="D9D9D9"/>
          </w:tcPr>
          <w:p>
            <w:pPr>
              <w:jc w:val="center"/>
              <w:ind w:right="340"/>
              <w:spacing w:after="0" w:line="171" w:lineRule="exact"/>
              <w:rPr>
                <w:sz w:val="20"/>
                <w:szCs w:val="20"/>
                <w:color w:val="auto"/>
              </w:rPr>
            </w:pPr>
            <w:r>
              <w:rPr>
                <w:rFonts w:ascii="Arial" w:cs="Arial" w:eastAsia="Arial" w:hAnsi="Arial"/>
                <w:sz w:val="16"/>
                <w:szCs w:val="16"/>
                <w:b w:val="1"/>
                <w:bCs w:val="1"/>
                <w:color w:val="auto"/>
              </w:rPr>
              <w:t>X</w:t>
            </w:r>
          </w:p>
        </w:tc>
        <w:tc>
          <w:tcPr>
            <w:tcW w:w="50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tcBorders>
            <w:gridSpan w:val="2"/>
            <w:shd w:val="clear" w:color="auto" w:fill="D9D9D9"/>
          </w:tcPr>
          <w:p>
            <w:pPr>
              <w:jc w:val="center"/>
              <w:ind w:right="480"/>
              <w:spacing w:after="0" w:line="171" w:lineRule="exact"/>
              <w:rPr>
                <w:sz w:val="20"/>
                <w:szCs w:val="20"/>
                <w:color w:val="auto"/>
              </w:rPr>
            </w:pPr>
            <w:r>
              <w:rPr>
                <w:rFonts w:ascii="Arial" w:cs="Arial" w:eastAsia="Arial" w:hAnsi="Arial"/>
                <w:sz w:val="16"/>
                <w:szCs w:val="16"/>
                <w:b w:val="1"/>
                <w:bCs w:val="1"/>
                <w:color w:val="auto"/>
              </w:rPr>
              <w:t>X</w:t>
            </w:r>
          </w:p>
        </w:tc>
        <w:tc>
          <w:tcPr>
            <w:tcW w:w="380" w:type="dxa"/>
            <w:vAlign w:val="bottom"/>
            <w:tcBorders>
              <w:bottom w:val="single" w:sz="8" w:color="auto"/>
            </w:tcBorders>
            <w:shd w:val="clear" w:color="auto" w:fill="D9D9D9"/>
          </w:tcPr>
          <w:p>
            <w:pPr>
              <w:spacing w:after="0"/>
              <w:rPr>
                <w:sz w:val="18"/>
                <w:szCs w:val="18"/>
                <w:color w:val="auto"/>
              </w:rPr>
            </w:pPr>
          </w:p>
        </w:tc>
        <w:tc>
          <w:tcPr>
            <w:tcW w:w="720" w:type="dxa"/>
            <w:vAlign w:val="bottom"/>
            <w:tcBorders>
              <w:bottom w:val="single" w:sz="8" w:color="auto"/>
            </w:tcBorders>
            <w:gridSpan w:val="2"/>
            <w:shd w:val="clear" w:color="auto" w:fill="D9D9D9"/>
          </w:tcPr>
          <w:p>
            <w:pPr>
              <w:jc w:val="center"/>
              <w:ind w:right="400"/>
              <w:spacing w:after="0" w:line="171" w:lineRule="exact"/>
              <w:rPr>
                <w:sz w:val="20"/>
                <w:szCs w:val="20"/>
                <w:color w:val="auto"/>
              </w:rPr>
            </w:pPr>
            <w:r>
              <w:rPr>
                <w:rFonts w:ascii="Arial" w:cs="Arial" w:eastAsia="Arial" w:hAnsi="Arial"/>
                <w:sz w:val="16"/>
                <w:szCs w:val="16"/>
                <w:b w:val="1"/>
                <w:bCs w:val="1"/>
                <w:color w:val="auto"/>
              </w:rPr>
              <w:t>X</w:t>
            </w:r>
          </w:p>
        </w:tc>
        <w:tc>
          <w:tcPr>
            <w:tcW w:w="1140" w:type="dxa"/>
            <w:vAlign w:val="bottom"/>
            <w:tcBorders>
              <w:bottom w:val="single" w:sz="8" w:color="auto"/>
            </w:tcBorders>
            <w:gridSpan w:val="3"/>
            <w:shd w:val="clear" w:color="auto" w:fill="D9D9D9"/>
          </w:tcPr>
          <w:p>
            <w:pPr>
              <w:jc w:val="center"/>
              <w:ind w:right="40"/>
              <w:spacing w:after="0" w:line="171" w:lineRule="exact"/>
              <w:rPr>
                <w:sz w:val="20"/>
                <w:szCs w:val="20"/>
                <w:color w:val="auto"/>
              </w:rPr>
            </w:pPr>
            <w:r>
              <w:rPr>
                <w:rFonts w:ascii="Arial" w:cs="Arial" w:eastAsia="Arial" w:hAnsi="Arial"/>
                <w:sz w:val="16"/>
                <w:szCs w:val="16"/>
                <w:b w:val="1"/>
                <w:bCs w:val="1"/>
                <w:color w:val="auto"/>
                <w:w w:val="93"/>
              </w:rPr>
              <w:t>YES</w:t>
            </w:r>
          </w:p>
        </w:tc>
        <w:tc>
          <w:tcPr>
            <w:tcW w:w="360" w:type="dxa"/>
            <w:vAlign w:val="bottom"/>
            <w:tcBorders>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gridSpan w:val="2"/>
            <w:shd w:val="clear" w:color="auto" w:fill="D9D9D9"/>
          </w:tcPr>
          <w:p>
            <w:pPr>
              <w:jc w:val="center"/>
              <w:ind w:right="340"/>
              <w:spacing w:after="0" w:line="171" w:lineRule="exact"/>
              <w:rPr>
                <w:sz w:val="20"/>
                <w:szCs w:val="20"/>
                <w:color w:val="auto"/>
              </w:rPr>
            </w:pPr>
            <w:r>
              <w:rPr>
                <w:rFonts w:ascii="Arial" w:cs="Arial" w:eastAsia="Arial" w:hAnsi="Arial"/>
                <w:sz w:val="16"/>
                <w:szCs w:val="16"/>
                <w:b w:val="1"/>
                <w:bCs w:val="1"/>
                <w:color w:val="auto"/>
                <w:w w:val="99"/>
              </w:rPr>
              <w:t>YES</w:t>
            </w:r>
          </w:p>
        </w:tc>
        <w:tc>
          <w:tcPr>
            <w:tcW w:w="5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tcBorders>
            <w:gridSpan w:val="2"/>
            <w:shd w:val="clear" w:color="auto" w:fill="D9D9D9"/>
          </w:tcPr>
          <w:p>
            <w:pPr>
              <w:jc w:val="center"/>
              <w:ind w:right="500"/>
              <w:spacing w:after="0" w:line="171" w:lineRule="exact"/>
              <w:rPr>
                <w:sz w:val="20"/>
                <w:szCs w:val="20"/>
                <w:color w:val="auto"/>
              </w:rPr>
            </w:pPr>
            <w:r>
              <w:rPr>
                <w:rFonts w:ascii="Arial" w:cs="Arial" w:eastAsia="Arial" w:hAnsi="Arial"/>
                <w:sz w:val="16"/>
                <w:szCs w:val="16"/>
                <w:b w:val="1"/>
                <w:bCs w:val="1"/>
                <w:color w:val="auto"/>
                <w:w w:val="99"/>
              </w:rPr>
              <w:t>YES</w:t>
            </w:r>
          </w:p>
        </w:tc>
        <w:tc>
          <w:tcPr>
            <w:tcW w:w="1120" w:type="dxa"/>
            <w:vAlign w:val="bottom"/>
            <w:tcBorders>
              <w:bottom w:val="single" w:sz="8" w:color="auto"/>
            </w:tcBorders>
            <w:gridSpan w:val="5"/>
            <w:shd w:val="clear" w:color="auto" w:fill="D9D9D9"/>
          </w:tcPr>
          <w:p>
            <w:pPr>
              <w:jc w:val="center"/>
              <w:ind w:right="40"/>
              <w:spacing w:after="0" w:line="171" w:lineRule="exact"/>
              <w:rPr>
                <w:sz w:val="20"/>
                <w:szCs w:val="20"/>
                <w:color w:val="auto"/>
              </w:rPr>
            </w:pPr>
            <w:r>
              <w:rPr>
                <w:rFonts w:ascii="Arial" w:cs="Arial" w:eastAsia="Arial" w:hAnsi="Arial"/>
                <w:sz w:val="16"/>
                <w:szCs w:val="16"/>
                <w:b w:val="1"/>
                <w:bCs w:val="1"/>
                <w:color w:val="auto"/>
              </w:rPr>
              <w:t>YES*</w:t>
            </w:r>
          </w:p>
        </w:tc>
        <w:tc>
          <w:tcPr>
            <w:tcW w:w="360" w:type="dxa"/>
            <w:vAlign w:val="bottom"/>
            <w:tcBorders>
              <w:bottom w:val="single" w:sz="8" w:color="auto"/>
            </w:tcBorders>
            <w:shd w:val="clear" w:color="auto" w:fill="D9D9D9"/>
          </w:tcPr>
          <w:p>
            <w:pPr>
              <w:spacing w:after="0"/>
              <w:rPr>
                <w:sz w:val="18"/>
                <w:szCs w:val="18"/>
                <w:color w:val="auto"/>
              </w:rPr>
            </w:pPr>
          </w:p>
        </w:tc>
        <w:tc>
          <w:tcPr>
            <w:tcW w:w="720" w:type="dxa"/>
            <w:vAlign w:val="bottom"/>
            <w:tcBorders>
              <w:bottom w:val="single" w:sz="8" w:color="auto"/>
            </w:tcBorders>
            <w:gridSpan w:val="2"/>
            <w:shd w:val="clear" w:color="auto" w:fill="D9D9D9"/>
          </w:tcPr>
          <w:p>
            <w:pPr>
              <w:jc w:val="center"/>
              <w:ind w:right="400"/>
              <w:spacing w:after="0" w:line="171" w:lineRule="exact"/>
              <w:rPr>
                <w:sz w:val="20"/>
                <w:szCs w:val="20"/>
                <w:color w:val="auto"/>
              </w:rPr>
            </w:pPr>
            <w:r>
              <w:rPr>
                <w:rFonts w:ascii="Arial" w:cs="Arial" w:eastAsia="Arial" w:hAnsi="Arial"/>
                <w:sz w:val="16"/>
                <w:szCs w:val="16"/>
                <w:b w:val="1"/>
                <w:bCs w:val="1"/>
                <w:color w:val="auto"/>
                <w:w w:val="99"/>
              </w:rPr>
              <w:t>YES</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95"/>
              </w:rPr>
              <w:t>Warren Gfeller</w:t>
            </w:r>
          </w:p>
        </w:tc>
        <w:tc>
          <w:tcPr>
            <w:tcW w:w="300" w:type="dxa"/>
            <w:vAlign w:val="bottom"/>
            <w:tcBorders>
              <w:bottom w:val="single" w:sz="8" w:color="auto"/>
            </w:tcBorders>
            <w:shd w:val="clear" w:color="auto" w:fill="D9D9D9"/>
          </w:tcPr>
          <w:p>
            <w:pPr>
              <w:spacing w:after="0"/>
              <w:rPr>
                <w:sz w:val="18"/>
                <w:szCs w:val="18"/>
                <w:color w:val="auto"/>
              </w:rPr>
            </w:pPr>
          </w:p>
        </w:tc>
        <w:tc>
          <w:tcPr>
            <w:tcW w:w="620" w:type="dxa"/>
            <w:vAlign w:val="bottom"/>
            <w:tcBorders>
              <w:bottom w:val="single" w:sz="8" w:color="auto"/>
            </w:tcBorders>
            <w:gridSpan w:val="2"/>
            <w:shd w:val="clear" w:color="auto" w:fill="D9D9D9"/>
          </w:tcPr>
          <w:p>
            <w:pPr>
              <w:jc w:val="center"/>
              <w:ind w:right="300"/>
              <w:spacing w:after="0" w:line="171" w:lineRule="exact"/>
              <w:rPr>
                <w:sz w:val="20"/>
                <w:szCs w:val="20"/>
                <w:color w:val="auto"/>
              </w:rPr>
            </w:pPr>
            <w:r>
              <w:rPr>
                <w:rFonts w:ascii="Arial" w:cs="Arial" w:eastAsia="Arial" w:hAnsi="Arial"/>
                <w:sz w:val="16"/>
                <w:szCs w:val="16"/>
                <w:b w:val="1"/>
                <w:bCs w:val="1"/>
                <w:color w:val="auto"/>
              </w:rPr>
              <w:t>X</w:t>
            </w:r>
          </w:p>
        </w:tc>
        <w:tc>
          <w:tcPr>
            <w:tcW w:w="340" w:type="dxa"/>
            <w:vAlign w:val="bottom"/>
            <w:tcBorders>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gridSpan w:val="2"/>
            <w:shd w:val="clear" w:color="auto" w:fill="D9D9D9"/>
          </w:tcPr>
          <w:p>
            <w:pPr>
              <w:jc w:val="center"/>
              <w:ind w:right="340"/>
              <w:spacing w:after="0" w:line="171" w:lineRule="exact"/>
              <w:rPr>
                <w:sz w:val="20"/>
                <w:szCs w:val="20"/>
                <w:color w:val="auto"/>
              </w:rPr>
            </w:pPr>
            <w:r>
              <w:rPr>
                <w:rFonts w:ascii="Arial" w:cs="Arial" w:eastAsia="Arial" w:hAnsi="Arial"/>
                <w:sz w:val="16"/>
                <w:szCs w:val="16"/>
                <w:b w:val="1"/>
                <w:bCs w:val="1"/>
                <w:color w:val="auto"/>
              </w:rPr>
              <w:t>X</w:t>
            </w:r>
          </w:p>
        </w:tc>
        <w:tc>
          <w:tcPr>
            <w:tcW w:w="50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tcBorders>
            <w:gridSpan w:val="2"/>
            <w:shd w:val="clear" w:color="auto" w:fill="D9D9D9"/>
          </w:tcPr>
          <w:p>
            <w:pPr>
              <w:jc w:val="center"/>
              <w:ind w:right="480"/>
              <w:spacing w:after="0" w:line="171" w:lineRule="exact"/>
              <w:rPr>
                <w:sz w:val="20"/>
                <w:szCs w:val="20"/>
                <w:color w:val="auto"/>
              </w:rPr>
            </w:pPr>
            <w:r>
              <w:rPr>
                <w:rFonts w:ascii="Arial" w:cs="Arial" w:eastAsia="Arial" w:hAnsi="Arial"/>
                <w:sz w:val="16"/>
                <w:szCs w:val="16"/>
                <w:b w:val="1"/>
                <w:bCs w:val="1"/>
                <w:color w:val="auto"/>
              </w:rPr>
              <w:t>X</w:t>
            </w:r>
          </w:p>
        </w:tc>
        <w:tc>
          <w:tcPr>
            <w:tcW w:w="380" w:type="dxa"/>
            <w:vAlign w:val="bottom"/>
            <w:tcBorders>
              <w:bottom w:val="single" w:sz="8" w:color="auto"/>
            </w:tcBorders>
            <w:shd w:val="clear" w:color="auto" w:fill="D9D9D9"/>
          </w:tcPr>
          <w:p>
            <w:pPr>
              <w:spacing w:after="0"/>
              <w:rPr>
                <w:sz w:val="18"/>
                <w:szCs w:val="18"/>
                <w:color w:val="auto"/>
              </w:rPr>
            </w:pPr>
          </w:p>
        </w:tc>
        <w:tc>
          <w:tcPr>
            <w:tcW w:w="720" w:type="dxa"/>
            <w:vAlign w:val="bottom"/>
            <w:tcBorders>
              <w:bottom w:val="single" w:sz="8" w:color="auto"/>
            </w:tcBorders>
            <w:gridSpan w:val="2"/>
            <w:shd w:val="clear" w:color="auto" w:fill="D9D9D9"/>
          </w:tcPr>
          <w:p>
            <w:pPr>
              <w:jc w:val="center"/>
              <w:ind w:right="400"/>
              <w:spacing w:after="0" w:line="171" w:lineRule="exact"/>
              <w:rPr>
                <w:sz w:val="20"/>
                <w:szCs w:val="20"/>
                <w:color w:val="auto"/>
              </w:rPr>
            </w:pPr>
            <w:r>
              <w:rPr>
                <w:rFonts w:ascii="Arial" w:cs="Arial" w:eastAsia="Arial" w:hAnsi="Arial"/>
                <w:sz w:val="16"/>
                <w:szCs w:val="16"/>
                <w:b w:val="1"/>
                <w:bCs w:val="1"/>
                <w:color w:val="auto"/>
              </w:rPr>
              <w:t>X</w:t>
            </w:r>
          </w:p>
        </w:tc>
        <w:tc>
          <w:tcPr>
            <w:tcW w:w="400" w:type="dxa"/>
            <w:vAlign w:val="bottom"/>
            <w:tcBorders>
              <w:bottom w:val="single" w:sz="8" w:color="auto"/>
            </w:tcBorders>
            <w:shd w:val="clear" w:color="auto" w:fill="D9D9D9"/>
          </w:tcPr>
          <w:p>
            <w:pPr>
              <w:spacing w:after="0"/>
              <w:rPr>
                <w:sz w:val="18"/>
                <w:szCs w:val="18"/>
                <w:color w:val="auto"/>
              </w:rPr>
            </w:pPr>
          </w:p>
        </w:tc>
        <w:tc>
          <w:tcPr>
            <w:tcW w:w="740" w:type="dxa"/>
            <w:vAlign w:val="bottom"/>
            <w:tcBorders>
              <w:bottom w:val="single" w:sz="8" w:color="auto"/>
            </w:tcBorders>
            <w:gridSpan w:val="2"/>
            <w:shd w:val="clear" w:color="auto" w:fill="D9D9D9"/>
          </w:tcPr>
          <w:p>
            <w:pPr>
              <w:jc w:val="center"/>
              <w:ind w:right="440"/>
              <w:spacing w:after="0" w:line="171" w:lineRule="exact"/>
              <w:rPr>
                <w:sz w:val="20"/>
                <w:szCs w:val="20"/>
                <w:color w:val="auto"/>
              </w:rPr>
            </w:pPr>
            <w:r>
              <w:rPr>
                <w:rFonts w:ascii="Arial" w:cs="Arial" w:eastAsia="Arial" w:hAnsi="Arial"/>
                <w:sz w:val="16"/>
                <w:szCs w:val="16"/>
                <w:b w:val="1"/>
                <w:bCs w:val="1"/>
                <w:color w:val="auto"/>
                <w:w w:val="93"/>
              </w:rPr>
              <w:t>X</w:t>
            </w:r>
          </w:p>
        </w:tc>
        <w:tc>
          <w:tcPr>
            <w:tcW w:w="360" w:type="dxa"/>
            <w:vAlign w:val="bottom"/>
            <w:tcBorders>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gridSpan w:val="2"/>
            <w:shd w:val="clear" w:color="auto" w:fill="D9D9D9"/>
          </w:tcPr>
          <w:p>
            <w:pPr>
              <w:jc w:val="center"/>
              <w:ind w:right="340"/>
              <w:spacing w:after="0" w:line="171" w:lineRule="exact"/>
              <w:rPr>
                <w:sz w:val="20"/>
                <w:szCs w:val="20"/>
                <w:color w:val="auto"/>
              </w:rPr>
            </w:pPr>
            <w:r>
              <w:rPr>
                <w:rFonts w:ascii="Arial" w:cs="Arial" w:eastAsia="Arial" w:hAnsi="Arial"/>
                <w:sz w:val="16"/>
                <w:szCs w:val="16"/>
                <w:b w:val="1"/>
                <w:bCs w:val="1"/>
                <w:color w:val="auto"/>
                <w:w w:val="99"/>
              </w:rPr>
              <w:t>YES</w:t>
            </w:r>
          </w:p>
        </w:tc>
        <w:tc>
          <w:tcPr>
            <w:tcW w:w="5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tcBorders>
            <w:gridSpan w:val="2"/>
            <w:shd w:val="clear" w:color="auto" w:fill="D9D9D9"/>
          </w:tcPr>
          <w:p>
            <w:pPr>
              <w:jc w:val="center"/>
              <w:ind w:right="500"/>
              <w:spacing w:after="0" w:line="171" w:lineRule="exact"/>
              <w:rPr>
                <w:sz w:val="20"/>
                <w:szCs w:val="20"/>
                <w:color w:val="auto"/>
              </w:rPr>
            </w:pPr>
            <w:r>
              <w:rPr>
                <w:rFonts w:ascii="Arial" w:cs="Arial" w:eastAsia="Arial" w:hAnsi="Arial"/>
                <w:sz w:val="16"/>
                <w:szCs w:val="16"/>
                <w:b w:val="1"/>
                <w:bCs w:val="1"/>
                <w:color w:val="auto"/>
              </w:rPr>
              <w:t>X</w:t>
            </w:r>
          </w:p>
        </w:tc>
        <w:tc>
          <w:tcPr>
            <w:tcW w:w="340" w:type="dxa"/>
            <w:vAlign w:val="bottom"/>
            <w:tcBorders>
              <w:bottom w:val="single" w:sz="8" w:color="auto"/>
            </w:tcBorders>
            <w:shd w:val="clear" w:color="auto" w:fill="D9D9D9"/>
          </w:tcPr>
          <w:p>
            <w:pPr>
              <w:spacing w:after="0"/>
              <w:rPr>
                <w:sz w:val="18"/>
                <w:szCs w:val="18"/>
                <w:color w:val="auto"/>
              </w:rPr>
            </w:pPr>
          </w:p>
        </w:tc>
        <w:tc>
          <w:tcPr>
            <w:tcW w:w="40" w:type="dxa"/>
            <w:vAlign w:val="bottom"/>
            <w:tcBorders>
              <w:bottom w:val="single" w:sz="8" w:color="auto"/>
            </w:tcBorders>
            <w:shd w:val="clear" w:color="auto" w:fill="D9D9D9"/>
          </w:tcPr>
          <w:p>
            <w:pPr>
              <w:spacing w:after="0"/>
              <w:rPr>
                <w:sz w:val="18"/>
                <w:szCs w:val="18"/>
                <w:color w:val="auto"/>
              </w:rPr>
            </w:pPr>
          </w:p>
        </w:tc>
        <w:tc>
          <w:tcPr>
            <w:tcW w:w="740" w:type="dxa"/>
            <w:vAlign w:val="bottom"/>
            <w:tcBorders>
              <w:bottom w:val="single" w:sz="8" w:color="auto"/>
            </w:tcBorders>
            <w:gridSpan w:val="3"/>
            <w:shd w:val="clear" w:color="auto" w:fill="D9D9D9"/>
          </w:tcPr>
          <w:p>
            <w:pPr>
              <w:jc w:val="center"/>
              <w:ind w:right="420"/>
              <w:spacing w:after="0" w:line="171" w:lineRule="exact"/>
              <w:rPr>
                <w:sz w:val="20"/>
                <w:szCs w:val="20"/>
                <w:color w:val="auto"/>
              </w:rPr>
            </w:pPr>
            <w:r>
              <w:rPr>
                <w:rFonts w:ascii="Arial" w:cs="Arial" w:eastAsia="Arial" w:hAnsi="Arial"/>
                <w:sz w:val="16"/>
                <w:szCs w:val="16"/>
                <w:b w:val="1"/>
                <w:bCs w:val="1"/>
                <w:color w:val="auto"/>
              </w:rPr>
              <w:t>X</w:t>
            </w:r>
          </w:p>
        </w:tc>
        <w:tc>
          <w:tcPr>
            <w:tcW w:w="360" w:type="dxa"/>
            <w:vAlign w:val="bottom"/>
            <w:tcBorders>
              <w:bottom w:val="single" w:sz="8" w:color="auto"/>
            </w:tcBorders>
            <w:shd w:val="clear" w:color="auto" w:fill="D9D9D9"/>
          </w:tcPr>
          <w:p>
            <w:pPr>
              <w:spacing w:after="0"/>
              <w:rPr>
                <w:sz w:val="18"/>
                <w:szCs w:val="18"/>
                <w:color w:val="auto"/>
              </w:rPr>
            </w:pPr>
          </w:p>
        </w:tc>
        <w:tc>
          <w:tcPr>
            <w:tcW w:w="720" w:type="dxa"/>
            <w:vAlign w:val="bottom"/>
            <w:tcBorders>
              <w:bottom w:val="single" w:sz="8" w:color="auto"/>
            </w:tcBorders>
            <w:gridSpan w:val="2"/>
            <w:shd w:val="clear" w:color="auto" w:fill="D9D9D9"/>
          </w:tcPr>
          <w:p>
            <w:pPr>
              <w:jc w:val="center"/>
              <w:ind w:right="400"/>
              <w:spacing w:after="0" w:line="171" w:lineRule="exact"/>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00" w:type="dxa"/>
            <w:vAlign w:val="bottom"/>
            <w:shd w:val="clear" w:color="auto" w:fill="D9D9D9"/>
          </w:tcPr>
          <w:p>
            <w:pPr>
              <w:jc w:val="center"/>
              <w:spacing w:after="0"/>
              <w:rPr>
                <w:sz w:val="20"/>
                <w:szCs w:val="20"/>
                <w:color w:val="auto"/>
              </w:rPr>
            </w:pPr>
            <w:r>
              <w:rPr>
                <w:rFonts w:ascii="Arial" w:cs="Arial" w:eastAsia="Arial" w:hAnsi="Arial"/>
                <w:sz w:val="13"/>
                <w:szCs w:val="13"/>
                <w:b w:val="1"/>
                <w:bCs w:val="1"/>
                <w:color w:val="auto"/>
                <w:w w:val="97"/>
              </w:rPr>
              <w:t>Lee</w:t>
            </w:r>
          </w:p>
        </w:tc>
        <w:tc>
          <w:tcPr>
            <w:tcW w:w="300" w:type="dxa"/>
            <w:vAlign w:val="bottom"/>
            <w:shd w:val="clear" w:color="auto" w:fill="D9D9D9"/>
          </w:tcPr>
          <w:p>
            <w:pPr>
              <w:spacing w:after="0"/>
              <w:rPr>
                <w:sz w:val="13"/>
                <w:szCs w:val="13"/>
                <w:color w:val="auto"/>
              </w:rPr>
            </w:pPr>
          </w:p>
        </w:tc>
        <w:tc>
          <w:tcPr>
            <w:tcW w:w="620" w:type="dxa"/>
            <w:vAlign w:val="bottom"/>
            <w:gridSpan w:val="2"/>
            <w:vMerge w:val="restart"/>
            <w:shd w:val="clear" w:color="auto" w:fill="D9D9D9"/>
          </w:tcPr>
          <w:p>
            <w:pPr>
              <w:jc w:val="center"/>
              <w:ind w:right="300"/>
              <w:spacing w:after="0"/>
              <w:rPr>
                <w:sz w:val="20"/>
                <w:szCs w:val="20"/>
                <w:color w:val="auto"/>
              </w:rPr>
            </w:pPr>
            <w:r>
              <w:rPr>
                <w:rFonts w:ascii="Arial" w:cs="Arial" w:eastAsia="Arial" w:hAnsi="Arial"/>
                <w:sz w:val="16"/>
                <w:szCs w:val="16"/>
                <w:b w:val="1"/>
                <w:bCs w:val="1"/>
                <w:color w:val="auto"/>
              </w:rPr>
              <w:t>X</w:t>
            </w:r>
          </w:p>
        </w:tc>
        <w:tc>
          <w:tcPr>
            <w:tcW w:w="340" w:type="dxa"/>
            <w:vAlign w:val="bottom"/>
            <w:shd w:val="clear" w:color="auto" w:fill="D9D9D9"/>
          </w:tcPr>
          <w:p>
            <w:pPr>
              <w:spacing w:after="0"/>
              <w:rPr>
                <w:sz w:val="13"/>
                <w:szCs w:val="13"/>
                <w:color w:val="auto"/>
              </w:rPr>
            </w:pPr>
          </w:p>
        </w:tc>
        <w:tc>
          <w:tcPr>
            <w:tcW w:w="660" w:type="dxa"/>
            <w:vAlign w:val="bottom"/>
            <w:gridSpan w:val="2"/>
            <w:vMerge w:val="restart"/>
            <w:shd w:val="clear" w:color="auto" w:fill="D9D9D9"/>
          </w:tcPr>
          <w:p>
            <w:pPr>
              <w:jc w:val="center"/>
              <w:ind w:right="340"/>
              <w:spacing w:after="0"/>
              <w:rPr>
                <w:sz w:val="20"/>
                <w:szCs w:val="20"/>
                <w:color w:val="auto"/>
              </w:rPr>
            </w:pPr>
            <w:r>
              <w:rPr>
                <w:rFonts w:ascii="Arial" w:cs="Arial" w:eastAsia="Arial" w:hAnsi="Arial"/>
                <w:sz w:val="16"/>
                <w:szCs w:val="16"/>
                <w:b w:val="1"/>
                <w:bCs w:val="1"/>
                <w:color w:val="auto"/>
              </w:rPr>
              <w:t>X</w:t>
            </w:r>
          </w:p>
        </w:tc>
        <w:tc>
          <w:tcPr>
            <w:tcW w:w="500" w:type="dxa"/>
            <w:vAlign w:val="bottom"/>
            <w:shd w:val="clear" w:color="auto" w:fill="D9D9D9"/>
          </w:tcPr>
          <w:p>
            <w:pPr>
              <w:spacing w:after="0"/>
              <w:rPr>
                <w:sz w:val="13"/>
                <w:szCs w:val="13"/>
                <w:color w:val="auto"/>
              </w:rPr>
            </w:pPr>
          </w:p>
        </w:tc>
        <w:tc>
          <w:tcPr>
            <w:tcW w:w="800" w:type="dxa"/>
            <w:vAlign w:val="bottom"/>
            <w:gridSpan w:val="2"/>
            <w:vMerge w:val="restart"/>
            <w:shd w:val="clear" w:color="auto" w:fill="D9D9D9"/>
          </w:tcPr>
          <w:p>
            <w:pPr>
              <w:jc w:val="center"/>
              <w:ind w:right="480"/>
              <w:spacing w:after="0"/>
              <w:rPr>
                <w:sz w:val="20"/>
                <w:szCs w:val="20"/>
                <w:color w:val="auto"/>
              </w:rPr>
            </w:pPr>
            <w:r>
              <w:rPr>
                <w:rFonts w:ascii="Arial" w:cs="Arial" w:eastAsia="Arial" w:hAnsi="Arial"/>
                <w:sz w:val="16"/>
                <w:szCs w:val="16"/>
                <w:b w:val="1"/>
                <w:bCs w:val="1"/>
                <w:color w:val="auto"/>
              </w:rPr>
              <w:t>X</w:t>
            </w:r>
          </w:p>
        </w:tc>
        <w:tc>
          <w:tcPr>
            <w:tcW w:w="380" w:type="dxa"/>
            <w:vAlign w:val="bottom"/>
            <w:shd w:val="clear" w:color="auto" w:fill="D9D9D9"/>
          </w:tcPr>
          <w:p>
            <w:pPr>
              <w:spacing w:after="0"/>
              <w:rPr>
                <w:sz w:val="13"/>
                <w:szCs w:val="13"/>
                <w:color w:val="auto"/>
              </w:rPr>
            </w:pPr>
          </w:p>
        </w:tc>
        <w:tc>
          <w:tcPr>
            <w:tcW w:w="720" w:type="dxa"/>
            <w:vAlign w:val="bottom"/>
            <w:gridSpan w:val="2"/>
            <w:vMerge w:val="restart"/>
            <w:shd w:val="clear" w:color="auto" w:fill="D9D9D9"/>
          </w:tcPr>
          <w:p>
            <w:pPr>
              <w:jc w:val="center"/>
              <w:ind w:right="400"/>
              <w:spacing w:after="0"/>
              <w:rPr>
                <w:sz w:val="20"/>
                <w:szCs w:val="20"/>
                <w:color w:val="auto"/>
              </w:rPr>
            </w:pPr>
            <w:r>
              <w:rPr>
                <w:rFonts w:ascii="Arial" w:cs="Arial" w:eastAsia="Arial" w:hAnsi="Arial"/>
                <w:sz w:val="16"/>
                <w:szCs w:val="16"/>
                <w:b w:val="1"/>
                <w:bCs w:val="1"/>
                <w:color w:val="auto"/>
              </w:rPr>
              <w:t>X</w:t>
            </w:r>
          </w:p>
        </w:tc>
        <w:tc>
          <w:tcPr>
            <w:tcW w:w="400" w:type="dxa"/>
            <w:vAlign w:val="bottom"/>
            <w:shd w:val="clear" w:color="auto" w:fill="D9D9D9"/>
          </w:tcPr>
          <w:p>
            <w:pPr>
              <w:spacing w:after="0"/>
              <w:rPr>
                <w:sz w:val="13"/>
                <w:szCs w:val="13"/>
                <w:color w:val="auto"/>
              </w:rPr>
            </w:pPr>
          </w:p>
        </w:tc>
        <w:tc>
          <w:tcPr>
            <w:tcW w:w="740" w:type="dxa"/>
            <w:vAlign w:val="bottom"/>
            <w:gridSpan w:val="2"/>
            <w:vMerge w:val="restart"/>
            <w:shd w:val="clear" w:color="auto" w:fill="D9D9D9"/>
          </w:tcPr>
          <w:p>
            <w:pPr>
              <w:jc w:val="center"/>
              <w:ind w:right="440"/>
              <w:spacing w:after="0"/>
              <w:rPr>
                <w:sz w:val="20"/>
                <w:szCs w:val="20"/>
                <w:color w:val="auto"/>
              </w:rPr>
            </w:pPr>
            <w:r>
              <w:rPr>
                <w:rFonts w:ascii="Arial" w:cs="Arial" w:eastAsia="Arial" w:hAnsi="Arial"/>
                <w:sz w:val="16"/>
                <w:szCs w:val="16"/>
                <w:b w:val="1"/>
                <w:bCs w:val="1"/>
                <w:color w:val="auto"/>
                <w:w w:val="93"/>
              </w:rPr>
              <w:t>X</w:t>
            </w:r>
          </w:p>
        </w:tc>
        <w:tc>
          <w:tcPr>
            <w:tcW w:w="360" w:type="dxa"/>
            <w:vAlign w:val="bottom"/>
            <w:shd w:val="clear" w:color="auto" w:fill="D9D9D9"/>
          </w:tcPr>
          <w:p>
            <w:pPr>
              <w:spacing w:after="0"/>
              <w:rPr>
                <w:sz w:val="13"/>
                <w:szCs w:val="13"/>
                <w:color w:val="auto"/>
              </w:rPr>
            </w:pPr>
          </w:p>
        </w:tc>
        <w:tc>
          <w:tcPr>
            <w:tcW w:w="660" w:type="dxa"/>
            <w:vAlign w:val="bottom"/>
            <w:gridSpan w:val="2"/>
            <w:vMerge w:val="restart"/>
            <w:shd w:val="clear" w:color="auto" w:fill="D9D9D9"/>
          </w:tcPr>
          <w:p>
            <w:pPr>
              <w:jc w:val="center"/>
              <w:ind w:right="340"/>
              <w:spacing w:after="0"/>
              <w:rPr>
                <w:sz w:val="20"/>
                <w:szCs w:val="20"/>
                <w:color w:val="auto"/>
              </w:rPr>
            </w:pPr>
            <w:r>
              <w:rPr>
                <w:rFonts w:ascii="Arial" w:cs="Arial" w:eastAsia="Arial" w:hAnsi="Arial"/>
                <w:sz w:val="16"/>
                <w:szCs w:val="16"/>
                <w:b w:val="1"/>
                <w:bCs w:val="1"/>
                <w:color w:val="auto"/>
              </w:rPr>
              <w:t>X</w:t>
            </w:r>
          </w:p>
        </w:tc>
        <w:tc>
          <w:tcPr>
            <w:tcW w:w="520" w:type="dxa"/>
            <w:vAlign w:val="bottom"/>
            <w:shd w:val="clear" w:color="auto" w:fill="D9D9D9"/>
          </w:tcPr>
          <w:p>
            <w:pPr>
              <w:spacing w:after="0"/>
              <w:rPr>
                <w:sz w:val="13"/>
                <w:szCs w:val="13"/>
                <w:color w:val="auto"/>
              </w:rPr>
            </w:pPr>
          </w:p>
        </w:tc>
        <w:tc>
          <w:tcPr>
            <w:tcW w:w="820" w:type="dxa"/>
            <w:vAlign w:val="bottom"/>
            <w:gridSpan w:val="2"/>
            <w:vMerge w:val="restart"/>
            <w:shd w:val="clear" w:color="auto" w:fill="D9D9D9"/>
          </w:tcPr>
          <w:p>
            <w:pPr>
              <w:jc w:val="center"/>
              <w:ind w:right="500"/>
              <w:spacing w:after="0"/>
              <w:rPr>
                <w:sz w:val="20"/>
                <w:szCs w:val="20"/>
                <w:color w:val="auto"/>
              </w:rPr>
            </w:pPr>
            <w:r>
              <w:rPr>
                <w:rFonts w:ascii="Arial" w:cs="Arial" w:eastAsia="Arial" w:hAnsi="Arial"/>
                <w:sz w:val="16"/>
                <w:szCs w:val="16"/>
                <w:b w:val="1"/>
                <w:bCs w:val="1"/>
                <w:color w:val="auto"/>
              </w:rPr>
              <w:t>X</w:t>
            </w:r>
          </w:p>
        </w:tc>
        <w:tc>
          <w:tcPr>
            <w:tcW w:w="340" w:type="dxa"/>
            <w:vAlign w:val="bottom"/>
            <w:shd w:val="clear" w:color="auto" w:fill="D9D9D9"/>
          </w:tcPr>
          <w:p>
            <w:pPr>
              <w:spacing w:after="0"/>
              <w:rPr>
                <w:sz w:val="13"/>
                <w:szCs w:val="13"/>
                <w:color w:val="auto"/>
              </w:rPr>
            </w:pPr>
          </w:p>
        </w:tc>
        <w:tc>
          <w:tcPr>
            <w:tcW w:w="40" w:type="dxa"/>
            <w:vAlign w:val="bottom"/>
            <w:shd w:val="clear" w:color="auto" w:fill="D9D9D9"/>
          </w:tcPr>
          <w:p>
            <w:pPr>
              <w:spacing w:after="0"/>
              <w:rPr>
                <w:sz w:val="13"/>
                <w:szCs w:val="13"/>
                <w:color w:val="auto"/>
              </w:rPr>
            </w:pPr>
          </w:p>
        </w:tc>
        <w:tc>
          <w:tcPr>
            <w:tcW w:w="740" w:type="dxa"/>
            <w:vAlign w:val="bottom"/>
            <w:gridSpan w:val="3"/>
            <w:vMerge w:val="restart"/>
            <w:shd w:val="clear" w:color="auto" w:fill="D9D9D9"/>
          </w:tcPr>
          <w:p>
            <w:pPr>
              <w:jc w:val="center"/>
              <w:ind w:right="420"/>
              <w:spacing w:after="0"/>
              <w:rPr>
                <w:sz w:val="20"/>
                <w:szCs w:val="20"/>
                <w:color w:val="auto"/>
              </w:rPr>
            </w:pPr>
            <w:r>
              <w:rPr>
                <w:rFonts w:ascii="Arial" w:cs="Arial" w:eastAsia="Arial" w:hAnsi="Arial"/>
                <w:sz w:val="16"/>
                <w:szCs w:val="16"/>
                <w:b w:val="1"/>
                <w:bCs w:val="1"/>
                <w:color w:val="auto"/>
              </w:rPr>
              <w:t>X</w:t>
            </w:r>
          </w:p>
        </w:tc>
        <w:tc>
          <w:tcPr>
            <w:tcW w:w="360" w:type="dxa"/>
            <w:vAlign w:val="bottom"/>
            <w:shd w:val="clear" w:color="auto" w:fill="D9D9D9"/>
          </w:tcPr>
          <w:p>
            <w:pPr>
              <w:spacing w:after="0"/>
              <w:rPr>
                <w:sz w:val="13"/>
                <w:szCs w:val="13"/>
                <w:color w:val="auto"/>
              </w:rPr>
            </w:pPr>
          </w:p>
        </w:tc>
        <w:tc>
          <w:tcPr>
            <w:tcW w:w="720" w:type="dxa"/>
            <w:vAlign w:val="bottom"/>
            <w:gridSpan w:val="2"/>
            <w:vMerge w:val="restart"/>
            <w:shd w:val="clear" w:color="auto" w:fill="D9D9D9"/>
          </w:tcPr>
          <w:p>
            <w:pPr>
              <w:jc w:val="center"/>
              <w:ind w:right="400"/>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0" w:type="dxa"/>
            <w:vAlign w:val="bottom"/>
            <w:vMerge w:val="restart"/>
            <w:shd w:val="clear" w:color="auto" w:fill="D9D9D9"/>
          </w:tcPr>
          <w:p>
            <w:pPr>
              <w:jc w:val="center"/>
              <w:spacing w:after="0"/>
              <w:rPr>
                <w:sz w:val="20"/>
                <w:szCs w:val="20"/>
                <w:color w:val="auto"/>
              </w:rPr>
            </w:pPr>
            <w:r>
              <w:rPr>
                <w:rFonts w:ascii="Arial" w:cs="Arial" w:eastAsia="Arial" w:hAnsi="Arial"/>
                <w:sz w:val="13"/>
                <w:szCs w:val="13"/>
                <w:b w:val="1"/>
                <w:bCs w:val="1"/>
                <w:color w:val="auto"/>
                <w:w w:val="97"/>
              </w:rPr>
              <w:t>Hillman</w:t>
            </w:r>
          </w:p>
        </w:tc>
        <w:tc>
          <w:tcPr>
            <w:tcW w:w="300" w:type="dxa"/>
            <w:vAlign w:val="bottom"/>
            <w:shd w:val="clear" w:color="auto" w:fill="D9D9D9"/>
          </w:tcPr>
          <w:p>
            <w:pPr>
              <w:spacing w:after="0"/>
              <w:rPr>
                <w:sz w:val="9"/>
                <w:szCs w:val="9"/>
                <w:color w:val="auto"/>
              </w:rPr>
            </w:pPr>
          </w:p>
        </w:tc>
        <w:tc>
          <w:tcPr>
            <w:tcW w:w="620" w:type="dxa"/>
            <w:vAlign w:val="bottom"/>
            <w:gridSpan w:val="2"/>
            <w:vMerge w:val="continue"/>
            <w:shd w:val="clear" w:color="auto" w:fill="D9D9D9"/>
          </w:tcPr>
          <w:p>
            <w:pPr>
              <w:spacing w:after="0"/>
              <w:rPr>
                <w:sz w:val="9"/>
                <w:szCs w:val="9"/>
                <w:color w:val="auto"/>
              </w:rPr>
            </w:pPr>
          </w:p>
        </w:tc>
        <w:tc>
          <w:tcPr>
            <w:tcW w:w="340" w:type="dxa"/>
            <w:vAlign w:val="bottom"/>
            <w:shd w:val="clear" w:color="auto" w:fill="D9D9D9"/>
          </w:tcPr>
          <w:p>
            <w:pPr>
              <w:spacing w:after="0"/>
              <w:rPr>
                <w:sz w:val="9"/>
                <w:szCs w:val="9"/>
                <w:color w:val="auto"/>
              </w:rPr>
            </w:pPr>
          </w:p>
        </w:tc>
        <w:tc>
          <w:tcPr>
            <w:tcW w:w="660" w:type="dxa"/>
            <w:vAlign w:val="bottom"/>
            <w:gridSpan w:val="2"/>
            <w:vMerge w:val="continue"/>
            <w:shd w:val="clear" w:color="auto" w:fill="D9D9D9"/>
          </w:tcPr>
          <w:p>
            <w:pPr>
              <w:spacing w:after="0"/>
              <w:rPr>
                <w:sz w:val="9"/>
                <w:szCs w:val="9"/>
                <w:color w:val="auto"/>
              </w:rPr>
            </w:pPr>
          </w:p>
        </w:tc>
        <w:tc>
          <w:tcPr>
            <w:tcW w:w="500" w:type="dxa"/>
            <w:vAlign w:val="bottom"/>
            <w:shd w:val="clear" w:color="auto" w:fill="D9D9D9"/>
          </w:tcPr>
          <w:p>
            <w:pPr>
              <w:spacing w:after="0"/>
              <w:rPr>
                <w:sz w:val="9"/>
                <w:szCs w:val="9"/>
                <w:color w:val="auto"/>
              </w:rPr>
            </w:pPr>
          </w:p>
        </w:tc>
        <w:tc>
          <w:tcPr>
            <w:tcW w:w="800" w:type="dxa"/>
            <w:vAlign w:val="bottom"/>
            <w:gridSpan w:val="2"/>
            <w:vMerge w:val="continue"/>
            <w:shd w:val="clear" w:color="auto" w:fill="D9D9D9"/>
          </w:tcPr>
          <w:p>
            <w:pPr>
              <w:spacing w:after="0"/>
              <w:rPr>
                <w:sz w:val="9"/>
                <w:szCs w:val="9"/>
                <w:color w:val="auto"/>
              </w:rPr>
            </w:pPr>
          </w:p>
        </w:tc>
        <w:tc>
          <w:tcPr>
            <w:tcW w:w="380" w:type="dxa"/>
            <w:vAlign w:val="bottom"/>
            <w:shd w:val="clear" w:color="auto" w:fill="D9D9D9"/>
          </w:tcPr>
          <w:p>
            <w:pPr>
              <w:spacing w:after="0"/>
              <w:rPr>
                <w:sz w:val="9"/>
                <w:szCs w:val="9"/>
                <w:color w:val="auto"/>
              </w:rPr>
            </w:pPr>
          </w:p>
        </w:tc>
        <w:tc>
          <w:tcPr>
            <w:tcW w:w="720" w:type="dxa"/>
            <w:vAlign w:val="bottom"/>
            <w:gridSpan w:val="2"/>
            <w:vMerge w:val="continue"/>
            <w:shd w:val="clear" w:color="auto" w:fill="D9D9D9"/>
          </w:tcPr>
          <w:p>
            <w:pPr>
              <w:spacing w:after="0"/>
              <w:rPr>
                <w:sz w:val="9"/>
                <w:szCs w:val="9"/>
                <w:color w:val="auto"/>
              </w:rPr>
            </w:pPr>
          </w:p>
        </w:tc>
        <w:tc>
          <w:tcPr>
            <w:tcW w:w="400" w:type="dxa"/>
            <w:vAlign w:val="bottom"/>
            <w:shd w:val="clear" w:color="auto" w:fill="D9D9D9"/>
          </w:tcPr>
          <w:p>
            <w:pPr>
              <w:spacing w:after="0"/>
              <w:rPr>
                <w:sz w:val="9"/>
                <w:szCs w:val="9"/>
                <w:color w:val="auto"/>
              </w:rPr>
            </w:pPr>
          </w:p>
        </w:tc>
        <w:tc>
          <w:tcPr>
            <w:tcW w:w="740" w:type="dxa"/>
            <w:vAlign w:val="bottom"/>
            <w:gridSpan w:val="2"/>
            <w:vMerge w:val="continue"/>
            <w:shd w:val="clear" w:color="auto" w:fill="D9D9D9"/>
          </w:tcPr>
          <w:p>
            <w:pPr>
              <w:spacing w:after="0"/>
              <w:rPr>
                <w:sz w:val="9"/>
                <w:szCs w:val="9"/>
                <w:color w:val="auto"/>
              </w:rPr>
            </w:pPr>
          </w:p>
        </w:tc>
        <w:tc>
          <w:tcPr>
            <w:tcW w:w="360" w:type="dxa"/>
            <w:vAlign w:val="bottom"/>
            <w:shd w:val="clear" w:color="auto" w:fill="D9D9D9"/>
          </w:tcPr>
          <w:p>
            <w:pPr>
              <w:spacing w:after="0"/>
              <w:rPr>
                <w:sz w:val="9"/>
                <w:szCs w:val="9"/>
                <w:color w:val="auto"/>
              </w:rPr>
            </w:pPr>
          </w:p>
        </w:tc>
        <w:tc>
          <w:tcPr>
            <w:tcW w:w="660" w:type="dxa"/>
            <w:vAlign w:val="bottom"/>
            <w:gridSpan w:val="2"/>
            <w:vMerge w:val="continue"/>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820" w:type="dxa"/>
            <w:vAlign w:val="bottom"/>
            <w:gridSpan w:val="2"/>
            <w:vMerge w:val="continue"/>
            <w:shd w:val="clear" w:color="auto" w:fill="D9D9D9"/>
          </w:tcPr>
          <w:p>
            <w:pPr>
              <w:spacing w:after="0"/>
              <w:rPr>
                <w:sz w:val="9"/>
                <w:szCs w:val="9"/>
                <w:color w:val="auto"/>
              </w:rPr>
            </w:pPr>
          </w:p>
        </w:tc>
        <w:tc>
          <w:tcPr>
            <w:tcW w:w="340" w:type="dxa"/>
            <w:vAlign w:val="bottom"/>
            <w:shd w:val="clear" w:color="auto" w:fill="D9D9D9"/>
          </w:tcPr>
          <w:p>
            <w:pPr>
              <w:spacing w:after="0"/>
              <w:rPr>
                <w:sz w:val="9"/>
                <w:szCs w:val="9"/>
                <w:color w:val="auto"/>
              </w:rPr>
            </w:pPr>
          </w:p>
        </w:tc>
        <w:tc>
          <w:tcPr>
            <w:tcW w:w="40" w:type="dxa"/>
            <w:vAlign w:val="bottom"/>
            <w:shd w:val="clear" w:color="auto" w:fill="D9D9D9"/>
          </w:tcPr>
          <w:p>
            <w:pPr>
              <w:spacing w:after="0"/>
              <w:rPr>
                <w:sz w:val="9"/>
                <w:szCs w:val="9"/>
                <w:color w:val="auto"/>
              </w:rPr>
            </w:pPr>
          </w:p>
        </w:tc>
        <w:tc>
          <w:tcPr>
            <w:tcW w:w="740" w:type="dxa"/>
            <w:vAlign w:val="bottom"/>
            <w:gridSpan w:val="3"/>
            <w:vMerge w:val="continue"/>
            <w:shd w:val="clear" w:color="auto" w:fill="D9D9D9"/>
          </w:tcPr>
          <w:p>
            <w:pPr>
              <w:spacing w:after="0"/>
              <w:rPr>
                <w:sz w:val="9"/>
                <w:szCs w:val="9"/>
                <w:color w:val="auto"/>
              </w:rPr>
            </w:pPr>
          </w:p>
        </w:tc>
        <w:tc>
          <w:tcPr>
            <w:tcW w:w="360" w:type="dxa"/>
            <w:vAlign w:val="bottom"/>
            <w:shd w:val="clear" w:color="auto" w:fill="D9D9D9"/>
          </w:tcPr>
          <w:p>
            <w:pPr>
              <w:spacing w:after="0"/>
              <w:rPr>
                <w:sz w:val="9"/>
                <w:szCs w:val="9"/>
                <w:color w:val="auto"/>
              </w:rPr>
            </w:pPr>
          </w:p>
        </w:tc>
        <w:tc>
          <w:tcPr>
            <w:tcW w:w="720" w:type="dxa"/>
            <w:vAlign w:val="bottom"/>
            <w:gridSpan w:val="2"/>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shd w:val="clear" w:color="auto" w:fill="D9D9D9"/>
          </w:tcPr>
          <w:p>
            <w:pPr>
              <w:spacing w:after="0"/>
              <w:rPr>
                <w:sz w:val="5"/>
                <w:szCs w:val="5"/>
                <w:color w:val="auto"/>
              </w:rPr>
            </w:pPr>
          </w:p>
        </w:tc>
        <w:tc>
          <w:tcPr>
            <w:tcW w:w="300" w:type="dxa"/>
            <w:vAlign w:val="bottom"/>
            <w:tcBorders>
              <w:bottom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300" w:type="dxa"/>
            <w:vAlign w:val="bottom"/>
            <w:tcBorders>
              <w:bottom w:val="single" w:sz="8" w:color="auto"/>
            </w:tcBorders>
            <w:shd w:val="clear" w:color="auto" w:fill="D9D9D9"/>
          </w:tcPr>
          <w:p>
            <w:pPr>
              <w:spacing w:after="0"/>
              <w:rPr>
                <w:sz w:val="5"/>
                <w:szCs w:val="5"/>
                <w:color w:val="auto"/>
              </w:rPr>
            </w:pPr>
          </w:p>
        </w:tc>
        <w:tc>
          <w:tcPr>
            <w:tcW w:w="340" w:type="dxa"/>
            <w:vAlign w:val="bottom"/>
            <w:tcBorders>
              <w:bottom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340" w:type="dxa"/>
            <w:vAlign w:val="bottom"/>
            <w:tcBorders>
              <w:bottom w:val="single" w:sz="8" w:color="auto"/>
            </w:tcBorders>
            <w:shd w:val="clear" w:color="auto" w:fill="D9D9D9"/>
          </w:tcPr>
          <w:p>
            <w:pPr>
              <w:spacing w:after="0"/>
              <w:rPr>
                <w:sz w:val="5"/>
                <w:szCs w:val="5"/>
                <w:color w:val="auto"/>
              </w:rPr>
            </w:pPr>
          </w:p>
        </w:tc>
        <w:tc>
          <w:tcPr>
            <w:tcW w:w="500" w:type="dxa"/>
            <w:vAlign w:val="bottom"/>
            <w:tcBorders>
              <w:bottom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480" w:type="dxa"/>
            <w:vAlign w:val="bottom"/>
            <w:tcBorders>
              <w:bottom w:val="single" w:sz="8" w:color="auto"/>
            </w:tcBorders>
            <w:shd w:val="clear" w:color="auto" w:fill="D9D9D9"/>
          </w:tcPr>
          <w:p>
            <w:pPr>
              <w:spacing w:after="0"/>
              <w:rPr>
                <w:sz w:val="5"/>
                <w:szCs w:val="5"/>
                <w:color w:val="auto"/>
              </w:rPr>
            </w:pPr>
          </w:p>
        </w:tc>
        <w:tc>
          <w:tcPr>
            <w:tcW w:w="380" w:type="dxa"/>
            <w:vAlign w:val="bottom"/>
            <w:tcBorders>
              <w:bottom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400" w:type="dxa"/>
            <w:vAlign w:val="bottom"/>
            <w:tcBorders>
              <w:bottom w:val="single" w:sz="8" w:color="auto"/>
            </w:tcBorders>
            <w:shd w:val="clear" w:color="auto" w:fill="D9D9D9"/>
          </w:tcPr>
          <w:p>
            <w:pPr>
              <w:spacing w:after="0"/>
              <w:rPr>
                <w:sz w:val="5"/>
                <w:szCs w:val="5"/>
                <w:color w:val="auto"/>
              </w:rPr>
            </w:pPr>
          </w:p>
        </w:tc>
        <w:tc>
          <w:tcPr>
            <w:tcW w:w="400" w:type="dxa"/>
            <w:vAlign w:val="bottom"/>
            <w:tcBorders>
              <w:bottom w:val="single" w:sz="8" w:color="auto"/>
            </w:tcBorders>
            <w:shd w:val="clear" w:color="auto" w:fill="D9D9D9"/>
          </w:tcPr>
          <w:p>
            <w:pPr>
              <w:spacing w:after="0"/>
              <w:rPr>
                <w:sz w:val="5"/>
                <w:szCs w:val="5"/>
                <w:color w:val="auto"/>
              </w:rPr>
            </w:pPr>
          </w:p>
        </w:tc>
        <w:tc>
          <w:tcPr>
            <w:tcW w:w="300" w:type="dxa"/>
            <w:vAlign w:val="bottom"/>
            <w:tcBorders>
              <w:bottom w:val="single" w:sz="8" w:color="auto"/>
            </w:tcBorders>
            <w:shd w:val="clear" w:color="auto" w:fill="D9D9D9"/>
          </w:tcPr>
          <w:p>
            <w:pPr>
              <w:spacing w:after="0"/>
              <w:rPr>
                <w:sz w:val="5"/>
                <w:szCs w:val="5"/>
                <w:color w:val="auto"/>
              </w:rPr>
            </w:pPr>
          </w:p>
        </w:tc>
        <w:tc>
          <w:tcPr>
            <w:tcW w:w="440" w:type="dxa"/>
            <w:vAlign w:val="bottom"/>
            <w:tcBorders>
              <w:bottom w:val="single" w:sz="8" w:color="auto"/>
            </w:tcBorders>
            <w:shd w:val="clear" w:color="auto" w:fill="D9D9D9"/>
          </w:tcPr>
          <w:p>
            <w:pPr>
              <w:spacing w:after="0"/>
              <w:rPr>
                <w:sz w:val="5"/>
                <w:szCs w:val="5"/>
                <w:color w:val="auto"/>
              </w:rPr>
            </w:pPr>
          </w:p>
        </w:tc>
        <w:tc>
          <w:tcPr>
            <w:tcW w:w="360" w:type="dxa"/>
            <w:vAlign w:val="bottom"/>
            <w:tcBorders>
              <w:bottom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340" w:type="dxa"/>
            <w:vAlign w:val="bottom"/>
            <w:tcBorders>
              <w:bottom w:val="single" w:sz="8" w:color="auto"/>
            </w:tcBorders>
            <w:shd w:val="clear" w:color="auto" w:fill="D9D9D9"/>
          </w:tcPr>
          <w:p>
            <w:pPr>
              <w:spacing w:after="0"/>
              <w:rPr>
                <w:sz w:val="5"/>
                <w:szCs w:val="5"/>
                <w:color w:val="auto"/>
              </w:rPr>
            </w:pPr>
          </w:p>
        </w:tc>
        <w:tc>
          <w:tcPr>
            <w:tcW w:w="520" w:type="dxa"/>
            <w:vAlign w:val="bottom"/>
            <w:tcBorders>
              <w:bottom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500" w:type="dxa"/>
            <w:vAlign w:val="bottom"/>
            <w:tcBorders>
              <w:bottom w:val="single" w:sz="8" w:color="auto"/>
            </w:tcBorders>
            <w:shd w:val="clear" w:color="auto" w:fill="D9D9D9"/>
          </w:tcPr>
          <w:p>
            <w:pPr>
              <w:spacing w:after="0"/>
              <w:rPr>
                <w:sz w:val="5"/>
                <w:szCs w:val="5"/>
                <w:color w:val="auto"/>
              </w:rPr>
            </w:pPr>
          </w:p>
        </w:tc>
        <w:tc>
          <w:tcPr>
            <w:tcW w:w="340" w:type="dxa"/>
            <w:vAlign w:val="bottom"/>
            <w:tcBorders>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40" w:type="dxa"/>
            <w:vAlign w:val="bottom"/>
            <w:tcBorders>
              <w:bottom w:val="single" w:sz="8" w:color="auto"/>
            </w:tcBorders>
            <w:shd w:val="clear" w:color="auto" w:fill="D9D9D9"/>
          </w:tcPr>
          <w:p>
            <w:pPr>
              <w:spacing w:after="0"/>
              <w:rPr>
                <w:sz w:val="5"/>
                <w:szCs w:val="5"/>
                <w:color w:val="auto"/>
              </w:rPr>
            </w:pPr>
          </w:p>
        </w:tc>
        <w:tc>
          <w:tcPr>
            <w:tcW w:w="380" w:type="dxa"/>
            <w:vAlign w:val="bottom"/>
            <w:tcBorders>
              <w:bottom w:val="single" w:sz="8" w:color="auto"/>
            </w:tcBorders>
            <w:shd w:val="clear" w:color="auto" w:fill="D9D9D9"/>
          </w:tcPr>
          <w:p>
            <w:pPr>
              <w:spacing w:after="0"/>
              <w:rPr>
                <w:sz w:val="5"/>
                <w:szCs w:val="5"/>
                <w:color w:val="auto"/>
              </w:rPr>
            </w:pPr>
          </w:p>
        </w:tc>
        <w:tc>
          <w:tcPr>
            <w:tcW w:w="360" w:type="dxa"/>
            <w:vAlign w:val="bottom"/>
            <w:tcBorders>
              <w:bottom w:val="single" w:sz="8" w:color="auto"/>
            </w:tcBorders>
            <w:shd w:val="clear" w:color="auto" w:fill="D9D9D9"/>
          </w:tcPr>
          <w:p>
            <w:pPr>
              <w:spacing w:after="0"/>
              <w:rPr>
                <w:sz w:val="5"/>
                <w:szCs w:val="5"/>
                <w:color w:val="auto"/>
              </w:rPr>
            </w:pPr>
          </w:p>
        </w:tc>
        <w:tc>
          <w:tcPr>
            <w:tcW w:w="320" w:type="dxa"/>
            <w:vAlign w:val="bottom"/>
            <w:tcBorders>
              <w:bottom w:val="single" w:sz="8" w:color="auto"/>
            </w:tcBorders>
            <w:shd w:val="clear" w:color="auto" w:fill="D9D9D9"/>
          </w:tcPr>
          <w:p>
            <w:pPr>
              <w:spacing w:after="0"/>
              <w:rPr>
                <w:sz w:val="5"/>
                <w:szCs w:val="5"/>
                <w:color w:val="auto"/>
              </w:rPr>
            </w:pPr>
          </w:p>
        </w:tc>
        <w:tc>
          <w:tcPr>
            <w:tcW w:w="400" w:type="dxa"/>
            <w:vAlign w:val="bottom"/>
            <w:tcBorders>
              <w:bottom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3"/>
                <w:szCs w:val="13"/>
                <w:b w:val="1"/>
                <w:bCs w:val="1"/>
                <w:color w:val="auto"/>
                <w:w w:val="96"/>
              </w:rPr>
              <w:t>Robert Leffler</w:t>
            </w:r>
          </w:p>
        </w:tc>
        <w:tc>
          <w:tcPr>
            <w:tcW w:w="300" w:type="dxa"/>
            <w:vAlign w:val="bottom"/>
            <w:tcBorders>
              <w:bottom w:val="single" w:sz="8" w:color="auto"/>
            </w:tcBorders>
            <w:shd w:val="clear" w:color="auto" w:fill="D9D9D9"/>
          </w:tcPr>
          <w:p>
            <w:pPr>
              <w:spacing w:after="0"/>
              <w:rPr>
                <w:sz w:val="18"/>
                <w:szCs w:val="18"/>
                <w:color w:val="auto"/>
              </w:rPr>
            </w:pPr>
          </w:p>
        </w:tc>
        <w:tc>
          <w:tcPr>
            <w:tcW w:w="620" w:type="dxa"/>
            <w:vAlign w:val="bottom"/>
            <w:tcBorders>
              <w:bottom w:val="single" w:sz="8" w:color="auto"/>
            </w:tcBorders>
            <w:gridSpan w:val="2"/>
            <w:shd w:val="clear" w:color="auto" w:fill="D9D9D9"/>
          </w:tcPr>
          <w:p>
            <w:pPr>
              <w:jc w:val="center"/>
              <w:ind w:right="300"/>
              <w:spacing w:after="0" w:line="171" w:lineRule="exact"/>
              <w:rPr>
                <w:sz w:val="20"/>
                <w:szCs w:val="20"/>
                <w:color w:val="auto"/>
              </w:rPr>
            </w:pPr>
            <w:r>
              <w:rPr>
                <w:rFonts w:ascii="Arial" w:cs="Arial" w:eastAsia="Arial" w:hAnsi="Arial"/>
                <w:sz w:val="16"/>
                <w:szCs w:val="16"/>
                <w:b w:val="1"/>
                <w:bCs w:val="1"/>
                <w:color w:val="auto"/>
              </w:rPr>
              <w:t>X</w:t>
            </w:r>
          </w:p>
        </w:tc>
        <w:tc>
          <w:tcPr>
            <w:tcW w:w="340" w:type="dxa"/>
            <w:vAlign w:val="bottom"/>
            <w:tcBorders>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gridSpan w:val="2"/>
            <w:shd w:val="clear" w:color="auto" w:fill="D9D9D9"/>
          </w:tcPr>
          <w:p>
            <w:pPr>
              <w:jc w:val="center"/>
              <w:ind w:right="340"/>
              <w:spacing w:after="0" w:line="171" w:lineRule="exact"/>
              <w:rPr>
                <w:sz w:val="20"/>
                <w:szCs w:val="20"/>
                <w:color w:val="auto"/>
              </w:rPr>
            </w:pPr>
            <w:r>
              <w:rPr>
                <w:rFonts w:ascii="Arial" w:cs="Arial" w:eastAsia="Arial" w:hAnsi="Arial"/>
                <w:sz w:val="16"/>
                <w:szCs w:val="16"/>
                <w:b w:val="1"/>
                <w:bCs w:val="1"/>
                <w:color w:val="auto"/>
              </w:rPr>
              <w:t>X</w:t>
            </w:r>
          </w:p>
        </w:tc>
        <w:tc>
          <w:tcPr>
            <w:tcW w:w="500" w:type="dxa"/>
            <w:vAlign w:val="bottom"/>
            <w:tcBorders>
              <w:bottom w:val="single" w:sz="8" w:color="auto"/>
            </w:tcBorders>
            <w:shd w:val="clear" w:color="auto" w:fill="D9D9D9"/>
          </w:tcPr>
          <w:p>
            <w:pPr>
              <w:spacing w:after="0"/>
              <w:rPr>
                <w:sz w:val="18"/>
                <w:szCs w:val="18"/>
                <w:color w:val="auto"/>
              </w:rPr>
            </w:pPr>
          </w:p>
        </w:tc>
        <w:tc>
          <w:tcPr>
            <w:tcW w:w="800" w:type="dxa"/>
            <w:vAlign w:val="bottom"/>
            <w:tcBorders>
              <w:bottom w:val="single" w:sz="8" w:color="auto"/>
            </w:tcBorders>
            <w:gridSpan w:val="2"/>
            <w:shd w:val="clear" w:color="auto" w:fill="D9D9D9"/>
          </w:tcPr>
          <w:p>
            <w:pPr>
              <w:jc w:val="center"/>
              <w:ind w:right="480"/>
              <w:spacing w:after="0" w:line="171" w:lineRule="exact"/>
              <w:rPr>
                <w:sz w:val="20"/>
                <w:szCs w:val="20"/>
                <w:color w:val="auto"/>
              </w:rPr>
            </w:pPr>
            <w:r>
              <w:rPr>
                <w:rFonts w:ascii="Arial" w:cs="Arial" w:eastAsia="Arial" w:hAnsi="Arial"/>
                <w:sz w:val="16"/>
                <w:szCs w:val="16"/>
                <w:b w:val="1"/>
                <w:bCs w:val="1"/>
                <w:color w:val="auto"/>
              </w:rPr>
              <w:t>X</w:t>
            </w:r>
          </w:p>
        </w:tc>
        <w:tc>
          <w:tcPr>
            <w:tcW w:w="380" w:type="dxa"/>
            <w:vAlign w:val="bottom"/>
            <w:tcBorders>
              <w:bottom w:val="single" w:sz="8" w:color="auto"/>
            </w:tcBorders>
            <w:shd w:val="clear" w:color="auto" w:fill="D9D9D9"/>
          </w:tcPr>
          <w:p>
            <w:pPr>
              <w:spacing w:after="0"/>
              <w:rPr>
                <w:sz w:val="18"/>
                <w:szCs w:val="18"/>
                <w:color w:val="auto"/>
              </w:rPr>
            </w:pPr>
          </w:p>
        </w:tc>
        <w:tc>
          <w:tcPr>
            <w:tcW w:w="720" w:type="dxa"/>
            <w:vAlign w:val="bottom"/>
            <w:tcBorders>
              <w:bottom w:val="single" w:sz="8" w:color="auto"/>
            </w:tcBorders>
            <w:gridSpan w:val="2"/>
            <w:shd w:val="clear" w:color="auto" w:fill="D9D9D9"/>
          </w:tcPr>
          <w:p>
            <w:pPr>
              <w:jc w:val="center"/>
              <w:ind w:right="400"/>
              <w:spacing w:after="0" w:line="171" w:lineRule="exact"/>
              <w:rPr>
                <w:sz w:val="20"/>
                <w:szCs w:val="20"/>
                <w:color w:val="auto"/>
              </w:rPr>
            </w:pPr>
            <w:r>
              <w:rPr>
                <w:rFonts w:ascii="Arial" w:cs="Arial" w:eastAsia="Arial" w:hAnsi="Arial"/>
                <w:sz w:val="16"/>
                <w:szCs w:val="16"/>
                <w:b w:val="1"/>
                <w:bCs w:val="1"/>
                <w:color w:val="auto"/>
              </w:rPr>
              <w:t>X</w:t>
            </w:r>
          </w:p>
        </w:tc>
        <w:tc>
          <w:tcPr>
            <w:tcW w:w="1140" w:type="dxa"/>
            <w:vAlign w:val="bottom"/>
            <w:tcBorders>
              <w:bottom w:val="single" w:sz="8" w:color="auto"/>
            </w:tcBorders>
            <w:gridSpan w:val="3"/>
            <w:shd w:val="clear" w:color="auto" w:fill="D9D9D9"/>
          </w:tcPr>
          <w:p>
            <w:pPr>
              <w:jc w:val="center"/>
              <w:ind w:right="40"/>
              <w:spacing w:after="0" w:line="171" w:lineRule="exact"/>
              <w:rPr>
                <w:sz w:val="20"/>
                <w:szCs w:val="20"/>
                <w:color w:val="auto"/>
              </w:rPr>
            </w:pPr>
            <w:r>
              <w:rPr>
                <w:rFonts w:ascii="Arial" w:cs="Arial" w:eastAsia="Arial" w:hAnsi="Arial"/>
                <w:sz w:val="16"/>
                <w:szCs w:val="16"/>
                <w:b w:val="1"/>
                <w:bCs w:val="1"/>
                <w:color w:val="auto"/>
                <w:w w:val="93"/>
              </w:rPr>
              <w:t>YES</w:t>
            </w:r>
          </w:p>
        </w:tc>
        <w:tc>
          <w:tcPr>
            <w:tcW w:w="360" w:type="dxa"/>
            <w:vAlign w:val="bottom"/>
            <w:tcBorders>
              <w:bottom w:val="single" w:sz="8" w:color="auto"/>
            </w:tcBorders>
            <w:shd w:val="clear" w:color="auto" w:fill="D9D9D9"/>
          </w:tcPr>
          <w:p>
            <w:pPr>
              <w:spacing w:after="0"/>
              <w:rPr>
                <w:sz w:val="18"/>
                <w:szCs w:val="18"/>
                <w:color w:val="auto"/>
              </w:rPr>
            </w:pPr>
          </w:p>
        </w:tc>
        <w:tc>
          <w:tcPr>
            <w:tcW w:w="660" w:type="dxa"/>
            <w:vAlign w:val="bottom"/>
            <w:tcBorders>
              <w:bottom w:val="single" w:sz="8" w:color="auto"/>
            </w:tcBorders>
            <w:gridSpan w:val="2"/>
            <w:shd w:val="clear" w:color="auto" w:fill="D9D9D9"/>
          </w:tcPr>
          <w:p>
            <w:pPr>
              <w:jc w:val="center"/>
              <w:ind w:right="340"/>
              <w:spacing w:after="0" w:line="171" w:lineRule="exact"/>
              <w:rPr>
                <w:sz w:val="20"/>
                <w:szCs w:val="20"/>
                <w:color w:val="auto"/>
              </w:rPr>
            </w:pPr>
            <w:r>
              <w:rPr>
                <w:rFonts w:ascii="Arial" w:cs="Arial" w:eastAsia="Arial" w:hAnsi="Arial"/>
                <w:sz w:val="16"/>
                <w:szCs w:val="16"/>
                <w:b w:val="1"/>
                <w:bCs w:val="1"/>
                <w:color w:val="auto"/>
              </w:rPr>
              <w:t>X</w:t>
            </w:r>
          </w:p>
        </w:tc>
        <w:tc>
          <w:tcPr>
            <w:tcW w:w="520" w:type="dxa"/>
            <w:vAlign w:val="bottom"/>
            <w:tcBorders>
              <w:bottom w:val="single" w:sz="8" w:color="auto"/>
            </w:tcBorders>
            <w:shd w:val="clear" w:color="auto" w:fill="D9D9D9"/>
          </w:tcPr>
          <w:p>
            <w:pPr>
              <w:spacing w:after="0"/>
              <w:rPr>
                <w:sz w:val="18"/>
                <w:szCs w:val="18"/>
                <w:color w:val="auto"/>
              </w:rPr>
            </w:pPr>
          </w:p>
        </w:tc>
        <w:tc>
          <w:tcPr>
            <w:tcW w:w="820" w:type="dxa"/>
            <w:vAlign w:val="bottom"/>
            <w:tcBorders>
              <w:bottom w:val="single" w:sz="8" w:color="auto"/>
            </w:tcBorders>
            <w:gridSpan w:val="2"/>
            <w:shd w:val="clear" w:color="auto" w:fill="D9D9D9"/>
          </w:tcPr>
          <w:p>
            <w:pPr>
              <w:jc w:val="center"/>
              <w:ind w:right="500"/>
              <w:spacing w:after="0" w:line="171" w:lineRule="exact"/>
              <w:rPr>
                <w:sz w:val="20"/>
                <w:szCs w:val="20"/>
                <w:color w:val="auto"/>
              </w:rPr>
            </w:pPr>
            <w:r>
              <w:rPr>
                <w:rFonts w:ascii="Arial" w:cs="Arial" w:eastAsia="Arial" w:hAnsi="Arial"/>
                <w:sz w:val="16"/>
                <w:szCs w:val="16"/>
                <w:b w:val="1"/>
                <w:bCs w:val="1"/>
                <w:color w:val="auto"/>
              </w:rPr>
              <w:t>X</w:t>
            </w:r>
          </w:p>
        </w:tc>
        <w:tc>
          <w:tcPr>
            <w:tcW w:w="340" w:type="dxa"/>
            <w:vAlign w:val="bottom"/>
            <w:tcBorders>
              <w:bottom w:val="single" w:sz="8" w:color="auto"/>
            </w:tcBorders>
            <w:shd w:val="clear" w:color="auto" w:fill="D9D9D9"/>
          </w:tcPr>
          <w:p>
            <w:pPr>
              <w:spacing w:after="0"/>
              <w:rPr>
                <w:sz w:val="18"/>
                <w:szCs w:val="18"/>
                <w:color w:val="auto"/>
              </w:rPr>
            </w:pPr>
          </w:p>
        </w:tc>
        <w:tc>
          <w:tcPr>
            <w:tcW w:w="40" w:type="dxa"/>
            <w:vAlign w:val="bottom"/>
            <w:tcBorders>
              <w:bottom w:val="single" w:sz="8" w:color="auto"/>
            </w:tcBorders>
            <w:shd w:val="clear" w:color="auto" w:fill="D9D9D9"/>
          </w:tcPr>
          <w:p>
            <w:pPr>
              <w:spacing w:after="0"/>
              <w:rPr>
                <w:sz w:val="18"/>
                <w:szCs w:val="18"/>
                <w:color w:val="auto"/>
              </w:rPr>
            </w:pPr>
          </w:p>
        </w:tc>
        <w:tc>
          <w:tcPr>
            <w:tcW w:w="740" w:type="dxa"/>
            <w:vAlign w:val="bottom"/>
            <w:tcBorders>
              <w:bottom w:val="single" w:sz="8" w:color="auto"/>
            </w:tcBorders>
            <w:gridSpan w:val="3"/>
            <w:shd w:val="clear" w:color="auto" w:fill="D9D9D9"/>
          </w:tcPr>
          <w:p>
            <w:pPr>
              <w:jc w:val="center"/>
              <w:ind w:right="420"/>
              <w:spacing w:after="0" w:line="171" w:lineRule="exact"/>
              <w:rPr>
                <w:sz w:val="20"/>
                <w:szCs w:val="20"/>
                <w:color w:val="auto"/>
              </w:rPr>
            </w:pPr>
            <w:r>
              <w:rPr>
                <w:rFonts w:ascii="Arial" w:cs="Arial" w:eastAsia="Arial" w:hAnsi="Arial"/>
                <w:sz w:val="16"/>
                <w:szCs w:val="16"/>
                <w:b w:val="1"/>
                <w:bCs w:val="1"/>
                <w:color w:val="auto"/>
              </w:rPr>
              <w:t>X</w:t>
            </w:r>
          </w:p>
        </w:tc>
        <w:tc>
          <w:tcPr>
            <w:tcW w:w="360" w:type="dxa"/>
            <w:vAlign w:val="bottom"/>
            <w:tcBorders>
              <w:bottom w:val="single" w:sz="8" w:color="auto"/>
            </w:tcBorders>
            <w:shd w:val="clear" w:color="auto" w:fill="D9D9D9"/>
          </w:tcPr>
          <w:p>
            <w:pPr>
              <w:spacing w:after="0"/>
              <w:rPr>
                <w:sz w:val="18"/>
                <w:szCs w:val="18"/>
                <w:color w:val="auto"/>
              </w:rPr>
            </w:pPr>
          </w:p>
        </w:tc>
        <w:tc>
          <w:tcPr>
            <w:tcW w:w="720" w:type="dxa"/>
            <w:vAlign w:val="bottom"/>
            <w:tcBorders>
              <w:bottom w:val="single" w:sz="8" w:color="auto"/>
            </w:tcBorders>
            <w:gridSpan w:val="2"/>
            <w:shd w:val="clear" w:color="auto" w:fill="D9D9D9"/>
          </w:tcPr>
          <w:p>
            <w:pPr>
              <w:jc w:val="center"/>
              <w:ind w:right="400"/>
              <w:spacing w:after="0" w:line="171" w:lineRule="exact"/>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shd w:val="clear" w:color="auto" w:fill="D9D9D9"/>
          </w:tcPr>
          <w:p>
            <w:pPr>
              <w:jc w:val="center"/>
              <w:spacing w:after="0"/>
              <w:rPr>
                <w:sz w:val="20"/>
                <w:szCs w:val="20"/>
                <w:color w:val="auto"/>
              </w:rPr>
            </w:pPr>
            <w:r>
              <w:rPr>
                <w:rFonts w:ascii="Arial" w:cs="Arial" w:eastAsia="Arial" w:hAnsi="Arial"/>
                <w:sz w:val="13"/>
                <w:szCs w:val="13"/>
                <w:b w:val="1"/>
                <w:bCs w:val="1"/>
                <w:color w:val="auto"/>
                <w:w w:val="89"/>
              </w:rPr>
              <w:t>Julie Springer</w:t>
            </w:r>
          </w:p>
        </w:tc>
        <w:tc>
          <w:tcPr>
            <w:tcW w:w="300" w:type="dxa"/>
            <w:vAlign w:val="bottom"/>
            <w:shd w:val="clear" w:color="auto" w:fill="D9D9D9"/>
          </w:tcPr>
          <w:p>
            <w:pPr>
              <w:spacing w:after="0"/>
              <w:rPr>
                <w:sz w:val="19"/>
                <w:szCs w:val="19"/>
                <w:color w:val="auto"/>
              </w:rPr>
            </w:pPr>
          </w:p>
        </w:tc>
        <w:tc>
          <w:tcPr>
            <w:tcW w:w="620" w:type="dxa"/>
            <w:vAlign w:val="bottom"/>
            <w:gridSpan w:val="2"/>
            <w:shd w:val="clear" w:color="auto" w:fill="D9D9D9"/>
          </w:tcPr>
          <w:p>
            <w:pPr>
              <w:jc w:val="center"/>
              <w:ind w:right="300"/>
              <w:spacing w:after="0"/>
              <w:rPr>
                <w:sz w:val="20"/>
                <w:szCs w:val="20"/>
                <w:color w:val="auto"/>
              </w:rPr>
            </w:pPr>
            <w:r>
              <w:rPr>
                <w:rFonts w:ascii="Arial" w:cs="Arial" w:eastAsia="Arial" w:hAnsi="Arial"/>
                <w:sz w:val="16"/>
                <w:szCs w:val="16"/>
                <w:b w:val="1"/>
                <w:bCs w:val="1"/>
                <w:color w:val="auto"/>
              </w:rPr>
              <w:t>X</w:t>
            </w:r>
          </w:p>
        </w:tc>
        <w:tc>
          <w:tcPr>
            <w:tcW w:w="340" w:type="dxa"/>
            <w:vAlign w:val="bottom"/>
            <w:shd w:val="clear" w:color="auto" w:fill="D9D9D9"/>
          </w:tcPr>
          <w:p>
            <w:pPr>
              <w:spacing w:after="0"/>
              <w:rPr>
                <w:sz w:val="19"/>
                <w:szCs w:val="19"/>
                <w:color w:val="auto"/>
              </w:rPr>
            </w:pPr>
          </w:p>
        </w:tc>
        <w:tc>
          <w:tcPr>
            <w:tcW w:w="660" w:type="dxa"/>
            <w:vAlign w:val="bottom"/>
            <w:gridSpan w:val="2"/>
            <w:shd w:val="clear" w:color="auto" w:fill="D9D9D9"/>
          </w:tcPr>
          <w:p>
            <w:pPr>
              <w:jc w:val="center"/>
              <w:ind w:right="340"/>
              <w:spacing w:after="0"/>
              <w:rPr>
                <w:sz w:val="20"/>
                <w:szCs w:val="20"/>
                <w:color w:val="auto"/>
              </w:rPr>
            </w:pPr>
            <w:r>
              <w:rPr>
                <w:rFonts w:ascii="Arial" w:cs="Arial" w:eastAsia="Arial" w:hAnsi="Arial"/>
                <w:sz w:val="16"/>
                <w:szCs w:val="16"/>
                <w:b w:val="1"/>
                <w:bCs w:val="1"/>
                <w:color w:val="auto"/>
              </w:rPr>
              <w:t>X</w:t>
            </w:r>
          </w:p>
        </w:tc>
        <w:tc>
          <w:tcPr>
            <w:tcW w:w="500" w:type="dxa"/>
            <w:vAlign w:val="bottom"/>
            <w:shd w:val="clear" w:color="auto" w:fill="D9D9D9"/>
          </w:tcPr>
          <w:p>
            <w:pPr>
              <w:spacing w:after="0"/>
              <w:rPr>
                <w:sz w:val="19"/>
                <w:szCs w:val="19"/>
                <w:color w:val="auto"/>
              </w:rPr>
            </w:pPr>
          </w:p>
        </w:tc>
        <w:tc>
          <w:tcPr>
            <w:tcW w:w="800" w:type="dxa"/>
            <w:vAlign w:val="bottom"/>
            <w:gridSpan w:val="2"/>
            <w:shd w:val="clear" w:color="auto" w:fill="D9D9D9"/>
          </w:tcPr>
          <w:p>
            <w:pPr>
              <w:jc w:val="center"/>
              <w:ind w:right="480"/>
              <w:spacing w:after="0"/>
              <w:rPr>
                <w:sz w:val="20"/>
                <w:szCs w:val="20"/>
                <w:color w:val="auto"/>
              </w:rPr>
            </w:pPr>
            <w:r>
              <w:rPr>
                <w:rFonts w:ascii="Arial" w:cs="Arial" w:eastAsia="Arial" w:hAnsi="Arial"/>
                <w:sz w:val="16"/>
                <w:szCs w:val="16"/>
                <w:b w:val="1"/>
                <w:bCs w:val="1"/>
                <w:color w:val="auto"/>
              </w:rPr>
              <w:t>X</w:t>
            </w:r>
          </w:p>
        </w:tc>
        <w:tc>
          <w:tcPr>
            <w:tcW w:w="380" w:type="dxa"/>
            <w:vAlign w:val="bottom"/>
            <w:shd w:val="clear" w:color="auto" w:fill="D9D9D9"/>
          </w:tcPr>
          <w:p>
            <w:pPr>
              <w:spacing w:after="0"/>
              <w:rPr>
                <w:sz w:val="19"/>
                <w:szCs w:val="19"/>
                <w:color w:val="auto"/>
              </w:rPr>
            </w:pPr>
          </w:p>
        </w:tc>
        <w:tc>
          <w:tcPr>
            <w:tcW w:w="720" w:type="dxa"/>
            <w:vAlign w:val="bottom"/>
            <w:gridSpan w:val="2"/>
            <w:shd w:val="clear" w:color="auto" w:fill="D9D9D9"/>
          </w:tcPr>
          <w:p>
            <w:pPr>
              <w:jc w:val="center"/>
              <w:ind w:right="400"/>
              <w:spacing w:after="0"/>
              <w:rPr>
                <w:sz w:val="20"/>
                <w:szCs w:val="20"/>
                <w:color w:val="auto"/>
              </w:rPr>
            </w:pPr>
            <w:r>
              <w:rPr>
                <w:rFonts w:ascii="Arial" w:cs="Arial" w:eastAsia="Arial" w:hAnsi="Arial"/>
                <w:sz w:val="16"/>
                <w:szCs w:val="16"/>
                <w:b w:val="1"/>
                <w:bCs w:val="1"/>
                <w:color w:val="auto"/>
              </w:rPr>
              <w:t>X</w:t>
            </w:r>
          </w:p>
        </w:tc>
        <w:tc>
          <w:tcPr>
            <w:tcW w:w="400" w:type="dxa"/>
            <w:vAlign w:val="bottom"/>
            <w:shd w:val="clear" w:color="auto" w:fill="D9D9D9"/>
          </w:tcPr>
          <w:p>
            <w:pPr>
              <w:spacing w:after="0"/>
              <w:rPr>
                <w:sz w:val="19"/>
                <w:szCs w:val="19"/>
                <w:color w:val="auto"/>
              </w:rPr>
            </w:pPr>
          </w:p>
        </w:tc>
        <w:tc>
          <w:tcPr>
            <w:tcW w:w="740" w:type="dxa"/>
            <w:vAlign w:val="bottom"/>
            <w:gridSpan w:val="2"/>
            <w:shd w:val="clear" w:color="auto" w:fill="D9D9D9"/>
          </w:tcPr>
          <w:p>
            <w:pPr>
              <w:jc w:val="center"/>
              <w:ind w:right="440"/>
              <w:spacing w:after="0"/>
              <w:rPr>
                <w:sz w:val="20"/>
                <w:szCs w:val="20"/>
                <w:color w:val="auto"/>
              </w:rPr>
            </w:pPr>
            <w:r>
              <w:rPr>
                <w:rFonts w:ascii="Arial" w:cs="Arial" w:eastAsia="Arial" w:hAnsi="Arial"/>
                <w:sz w:val="16"/>
                <w:szCs w:val="16"/>
                <w:b w:val="1"/>
                <w:bCs w:val="1"/>
                <w:color w:val="auto"/>
                <w:w w:val="93"/>
              </w:rPr>
              <w:t>X</w:t>
            </w:r>
          </w:p>
        </w:tc>
        <w:tc>
          <w:tcPr>
            <w:tcW w:w="360" w:type="dxa"/>
            <w:vAlign w:val="bottom"/>
            <w:shd w:val="clear" w:color="auto" w:fill="D9D9D9"/>
          </w:tcPr>
          <w:p>
            <w:pPr>
              <w:spacing w:after="0"/>
              <w:rPr>
                <w:sz w:val="19"/>
                <w:szCs w:val="19"/>
                <w:color w:val="auto"/>
              </w:rPr>
            </w:pPr>
          </w:p>
        </w:tc>
        <w:tc>
          <w:tcPr>
            <w:tcW w:w="660" w:type="dxa"/>
            <w:vAlign w:val="bottom"/>
            <w:gridSpan w:val="2"/>
            <w:shd w:val="clear" w:color="auto" w:fill="D9D9D9"/>
          </w:tcPr>
          <w:p>
            <w:pPr>
              <w:jc w:val="center"/>
              <w:ind w:right="340"/>
              <w:spacing w:after="0"/>
              <w:rPr>
                <w:sz w:val="20"/>
                <w:szCs w:val="20"/>
                <w:color w:val="auto"/>
              </w:rPr>
            </w:pPr>
            <w:r>
              <w:rPr>
                <w:rFonts w:ascii="Arial" w:cs="Arial" w:eastAsia="Arial" w:hAnsi="Arial"/>
                <w:sz w:val="16"/>
                <w:szCs w:val="16"/>
                <w:b w:val="1"/>
                <w:bCs w:val="1"/>
                <w:color w:val="auto"/>
              </w:rPr>
              <w:t>X</w:t>
            </w:r>
          </w:p>
        </w:tc>
        <w:tc>
          <w:tcPr>
            <w:tcW w:w="520" w:type="dxa"/>
            <w:vAlign w:val="bottom"/>
            <w:shd w:val="clear" w:color="auto" w:fill="D9D9D9"/>
          </w:tcPr>
          <w:p>
            <w:pPr>
              <w:spacing w:after="0"/>
              <w:rPr>
                <w:sz w:val="19"/>
                <w:szCs w:val="19"/>
                <w:color w:val="auto"/>
              </w:rPr>
            </w:pPr>
          </w:p>
        </w:tc>
        <w:tc>
          <w:tcPr>
            <w:tcW w:w="820" w:type="dxa"/>
            <w:vAlign w:val="bottom"/>
            <w:gridSpan w:val="2"/>
            <w:shd w:val="clear" w:color="auto" w:fill="D9D9D9"/>
          </w:tcPr>
          <w:p>
            <w:pPr>
              <w:jc w:val="center"/>
              <w:ind w:right="500"/>
              <w:spacing w:after="0"/>
              <w:rPr>
                <w:sz w:val="20"/>
                <w:szCs w:val="20"/>
                <w:color w:val="auto"/>
              </w:rPr>
            </w:pPr>
            <w:r>
              <w:rPr>
                <w:rFonts w:ascii="Arial" w:cs="Arial" w:eastAsia="Arial" w:hAnsi="Arial"/>
                <w:sz w:val="16"/>
                <w:szCs w:val="16"/>
                <w:b w:val="1"/>
                <w:bCs w:val="1"/>
                <w:color w:val="auto"/>
              </w:rPr>
              <w:t>X</w:t>
            </w:r>
          </w:p>
        </w:tc>
        <w:tc>
          <w:tcPr>
            <w:tcW w:w="34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740" w:type="dxa"/>
            <w:vAlign w:val="bottom"/>
            <w:gridSpan w:val="3"/>
            <w:shd w:val="clear" w:color="auto" w:fill="D9D9D9"/>
          </w:tcPr>
          <w:p>
            <w:pPr>
              <w:jc w:val="center"/>
              <w:ind w:right="420"/>
              <w:spacing w:after="0"/>
              <w:rPr>
                <w:sz w:val="20"/>
                <w:szCs w:val="20"/>
                <w:color w:val="auto"/>
              </w:rPr>
            </w:pPr>
            <w:r>
              <w:rPr>
                <w:rFonts w:ascii="Arial" w:cs="Arial" w:eastAsia="Arial" w:hAnsi="Arial"/>
                <w:sz w:val="16"/>
                <w:szCs w:val="16"/>
                <w:b w:val="1"/>
                <w:bCs w:val="1"/>
                <w:color w:val="auto"/>
              </w:rPr>
              <w:t>X</w:t>
            </w:r>
          </w:p>
        </w:tc>
        <w:tc>
          <w:tcPr>
            <w:tcW w:w="360" w:type="dxa"/>
            <w:vAlign w:val="bottom"/>
            <w:shd w:val="clear" w:color="auto" w:fill="D9D9D9"/>
          </w:tcPr>
          <w:p>
            <w:pPr>
              <w:spacing w:after="0"/>
              <w:rPr>
                <w:sz w:val="19"/>
                <w:szCs w:val="19"/>
                <w:color w:val="auto"/>
              </w:rPr>
            </w:pPr>
          </w:p>
        </w:tc>
        <w:tc>
          <w:tcPr>
            <w:tcW w:w="720" w:type="dxa"/>
            <w:vAlign w:val="bottom"/>
            <w:gridSpan w:val="2"/>
            <w:shd w:val="clear" w:color="auto" w:fill="D9D9D9"/>
          </w:tcPr>
          <w:p>
            <w:pPr>
              <w:jc w:val="center"/>
              <w:ind w:right="400"/>
              <w:spacing w:after="0"/>
              <w:rPr>
                <w:sz w:val="20"/>
                <w:szCs w:val="20"/>
                <w:color w:val="auto"/>
              </w:rPr>
            </w:pP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bl>
    <w:p>
      <w:pPr>
        <w:ind w:left="2"/>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201930</wp:posOffset>
            </wp:positionH>
            <wp:positionV relativeFrom="page">
              <wp:posOffset>306705</wp:posOffset>
            </wp:positionV>
            <wp:extent cx="7145020" cy="2366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2366010"/>
                    </a:xfrm>
                    <a:prstGeom prst="rect">
                      <a:avLst/>
                    </a:prstGeom>
                    <a:noFill/>
                  </pic:spPr>
                </pic:pic>
              </a:graphicData>
            </a:graphic>
          </wp:anchor>
        </w:drawing>
        <w:t>* Mr. Falcone has insurance experience but is banned from the insurance sector.</w:t>
      </w:r>
    </w:p>
    <w:p>
      <w:pPr>
        <w:spacing w:after="0" w:line="174" w:lineRule="exact"/>
        <w:rPr>
          <w:sz w:val="20"/>
          <w:szCs w:val="20"/>
          <w:color w:val="auto"/>
        </w:rPr>
      </w:pPr>
    </w:p>
    <w:p>
      <w:pPr>
        <w:jc w:val="center"/>
        <w:ind w:left="320" w:right="280"/>
        <w:spacing w:after="0" w:line="225" w:lineRule="auto"/>
        <w:rPr>
          <w:sz w:val="20"/>
          <w:szCs w:val="20"/>
          <w:color w:val="auto"/>
        </w:rPr>
      </w:pPr>
      <w:r>
        <w:rPr>
          <w:rFonts w:ascii="Arial" w:cs="Arial" w:eastAsia="Arial" w:hAnsi="Arial"/>
          <w:sz w:val="20"/>
          <w:szCs w:val="20"/>
          <w:b w:val="1"/>
          <w:bCs w:val="1"/>
          <w:i w:val="1"/>
          <w:iCs w:val="1"/>
          <w:u w:val="single" w:color="auto"/>
          <w:color w:val="auto"/>
        </w:rPr>
        <w:t>WHILE HC2 TOUTS AMORPHOUS “GROWTH AND INNNOVATION” AS TENENTS OF ITS PLAN, OUR NOMINEES HAVE ACTUALLY ARTICULATED A SPECIFIC STRATEGY TO PRODUCE RESULTS.</w:t>
      </w:r>
    </w:p>
    <w:p>
      <w:pPr>
        <w:spacing w:after="0" w:line="120" w:lineRule="exact"/>
        <w:rPr>
          <w:sz w:val="20"/>
          <w:szCs w:val="20"/>
          <w:color w:val="auto"/>
        </w:rPr>
      </w:pPr>
    </w:p>
    <w:p>
      <w:pPr>
        <w:jc w:val="both"/>
        <w:ind w:left="2"/>
        <w:spacing w:after="0" w:line="214" w:lineRule="auto"/>
        <w:rPr>
          <w:sz w:val="20"/>
          <w:szCs w:val="20"/>
          <w:color w:val="auto"/>
        </w:rPr>
      </w:pPr>
      <w:r>
        <w:rPr>
          <w:rFonts w:ascii="Arial" w:cs="Arial" w:eastAsia="Arial" w:hAnsi="Arial"/>
          <w:sz w:val="20"/>
          <w:szCs w:val="20"/>
          <w:color w:val="auto"/>
        </w:rPr>
        <w:t>Unlike Mr. Falcone and the current Board, our slate has a compelling and executable vision for eliminating debt-related risks and ultimately producing an estimated $9 per share in value. We believe our strategy should be very appealing to stockholders continuing to suffer as HC2 trades at roughly $2 per share today. The pillars of our strategy include:</w:t>
      </w:r>
    </w:p>
    <w:p>
      <w:pPr>
        <w:spacing w:after="0" w:line="135" w:lineRule="exact"/>
        <w:rPr>
          <w:sz w:val="20"/>
          <w:szCs w:val="20"/>
          <w:color w:val="auto"/>
        </w:rPr>
      </w:pPr>
    </w:p>
    <w:p>
      <w:pPr>
        <w:jc w:val="both"/>
        <w:ind w:left="302" w:hanging="302"/>
        <w:spacing w:after="0" w:line="267" w:lineRule="auto"/>
        <w:tabs>
          <w:tab w:leader="none" w:pos="30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Reducing Go-Forward Expenses and Overhead by 75% </w:t>
      </w:r>
      <w:r>
        <w:rPr>
          <w:rFonts w:ascii="Arial" w:cs="Arial" w:eastAsia="Arial" w:hAnsi="Arial"/>
          <w:sz w:val="16"/>
          <w:szCs w:val="16"/>
          <w:color w:val="auto"/>
        </w:rPr>
        <w:t>– High annual overhead continues to hinder HC2, representing nearly $4 per share in present value today.</w:t>
      </w:r>
      <w:r>
        <w:rPr>
          <w:rFonts w:ascii="Arial" w:cs="Arial" w:eastAsia="Arial" w:hAnsi="Arial"/>
          <w:sz w:val="16"/>
          <w:szCs w:val="16"/>
          <w:b w:val="1"/>
          <w:bCs w:val="1"/>
          <w:color w:val="auto"/>
        </w:rPr>
        <w:t xml:space="preserve"> </w:t>
      </w:r>
      <w:r>
        <w:rPr>
          <w:rFonts w:ascii="Arial" w:cs="Arial" w:eastAsia="Arial" w:hAnsi="Arial"/>
          <w:sz w:val="16"/>
          <w:szCs w:val="16"/>
          <w:color w:val="auto"/>
        </w:rPr>
        <w:t>If elected, our nominees will implement targeted expense management initiatives to cut down on excessive management and Board compensation, unnecessarily high real estate costs, questionable related party transactions involving Mr. Falcone’s affiliated entities, and other inefficiencies causing HC2 to run up millions of dollars per year in expenditures. We see an opportunity to accomplish the following right away:</w:t>
      </w:r>
    </w:p>
    <w:p>
      <w:pPr>
        <w:spacing w:after="0" w:line="153" w:lineRule="exact"/>
        <w:rPr>
          <w:rFonts w:ascii="Arial" w:cs="Arial" w:eastAsia="Arial" w:hAnsi="Arial"/>
          <w:sz w:val="16"/>
          <w:szCs w:val="16"/>
          <w:color w:val="auto"/>
        </w:rPr>
      </w:pPr>
    </w:p>
    <w:p>
      <w:pPr>
        <w:ind w:left="302" w:right="5700"/>
        <w:spacing w:after="0" w:line="495" w:lineRule="auto"/>
        <w:rPr>
          <w:rFonts w:ascii="Arial" w:cs="Arial" w:eastAsia="Arial" w:hAnsi="Arial"/>
          <w:sz w:val="16"/>
          <w:szCs w:val="16"/>
          <w:color w:val="auto"/>
        </w:rPr>
      </w:pPr>
      <w:r>
        <w:rPr>
          <w:rFonts w:ascii="Arial" w:cs="Arial" w:eastAsia="Arial" w:hAnsi="Arial"/>
          <w:sz w:val="16"/>
          <w:szCs w:val="16"/>
          <w:color w:val="auto"/>
        </w:rPr>
        <w:t>o Initiate $10 million-$15 million per year in cuts to executive compensation; o Enact 50% cuts to annual director fees and Board costs;</w:t>
      </w:r>
    </w:p>
    <w:p>
      <w:pPr>
        <w:ind w:left="302"/>
        <w:spacing w:after="0"/>
        <w:rPr>
          <w:rFonts w:ascii="Arial" w:cs="Arial" w:eastAsia="Arial" w:hAnsi="Arial"/>
          <w:sz w:val="16"/>
          <w:szCs w:val="16"/>
          <w:color w:val="auto"/>
        </w:rPr>
      </w:pPr>
      <w:r>
        <w:rPr>
          <w:rFonts w:ascii="Arial" w:cs="Arial" w:eastAsia="Arial" w:hAnsi="Arial"/>
          <w:sz w:val="16"/>
          <w:szCs w:val="16"/>
          <w:color w:val="auto"/>
        </w:rPr>
        <w:t>o   Pursue $3 million per year in cuts to real estate and related party fees, and;</w:t>
      </w:r>
    </w:p>
    <w:p>
      <w:pPr>
        <w:spacing w:after="0" w:line="195" w:lineRule="exact"/>
        <w:rPr>
          <w:rFonts w:ascii="Arial" w:cs="Arial" w:eastAsia="Arial" w:hAnsi="Arial"/>
          <w:sz w:val="16"/>
          <w:szCs w:val="16"/>
          <w:color w:val="auto"/>
        </w:rPr>
      </w:pPr>
    </w:p>
    <w:p>
      <w:pPr>
        <w:ind w:left="302"/>
        <w:spacing w:after="0"/>
        <w:rPr>
          <w:rFonts w:ascii="Arial" w:cs="Arial" w:eastAsia="Arial" w:hAnsi="Arial"/>
          <w:sz w:val="16"/>
          <w:szCs w:val="16"/>
          <w:color w:val="auto"/>
        </w:rPr>
      </w:pPr>
      <w:r>
        <w:rPr>
          <w:rFonts w:ascii="Arial" w:cs="Arial" w:eastAsia="Arial" w:hAnsi="Arial"/>
          <w:sz w:val="16"/>
          <w:szCs w:val="16"/>
          <w:color w:val="auto"/>
        </w:rPr>
        <w:t>o   Identify up to $5 million in additional cuts related to opaque administrative overhead that stockholders do not have visibility into.</w:t>
      </w:r>
    </w:p>
    <w:p>
      <w:pPr>
        <w:spacing w:after="0" w:line="326" w:lineRule="exact"/>
        <w:rPr>
          <w:rFonts w:ascii="Arial" w:cs="Arial" w:eastAsia="Arial" w:hAnsi="Arial"/>
          <w:sz w:val="16"/>
          <w:szCs w:val="16"/>
          <w:color w:val="auto"/>
        </w:rPr>
      </w:pPr>
    </w:p>
    <w:p>
      <w:pPr>
        <w:jc w:val="both"/>
        <w:ind w:left="302" w:hanging="302"/>
        <w:spacing w:after="0" w:line="273" w:lineRule="auto"/>
        <w:tabs>
          <w:tab w:leader="none" w:pos="30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Generating up to $500 million in Liquidity to Support Systematic Debt Reduction </w:t>
      </w:r>
      <w:r>
        <w:rPr>
          <w:rFonts w:ascii="Arial" w:cs="Arial" w:eastAsia="Arial" w:hAnsi="Arial"/>
          <w:sz w:val="16"/>
          <w:szCs w:val="16"/>
          <w:color w:val="auto"/>
        </w:rPr>
        <w:t>– HC2 has a staggering $400 million in holding company debt due at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2021. If elected, our nominees will work to carry out an orderly and pragmatic monetization of certain non-core assets in order to help fund the paydown of debt. We are ready to quickly and thoughtfully pursue sources of non-core liquidity that may include:</w:t>
      </w:r>
    </w:p>
    <w:p>
      <w:pPr>
        <w:spacing w:after="0" w:line="142" w:lineRule="exact"/>
        <w:rPr>
          <w:sz w:val="20"/>
          <w:szCs w:val="20"/>
          <w:color w:val="auto"/>
        </w:rPr>
      </w:pPr>
    </w:p>
    <w:p>
      <w:pPr>
        <w:ind w:left="582" w:hanging="288"/>
        <w:spacing w:after="0"/>
        <w:tabs>
          <w:tab w:leader="none" w:pos="5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Complete sale of 30% stake in Huawei Marine Networks (“HMN”) joint venture </w:t>
      </w:r>
      <w:r>
        <w:rPr>
          <w:rFonts w:ascii="Arial" w:cs="Arial" w:eastAsia="Arial" w:hAnsi="Arial"/>
          <w:sz w:val="19"/>
          <w:szCs w:val="19"/>
          <w:color w:val="auto"/>
        </w:rPr>
        <w:t>à</w:t>
      </w:r>
      <w:r>
        <w:rPr>
          <w:rFonts w:ascii="Arial" w:cs="Arial" w:eastAsia="Arial" w:hAnsi="Arial"/>
          <w:sz w:val="16"/>
          <w:szCs w:val="16"/>
          <w:color w:val="auto"/>
        </w:rPr>
        <w:t xml:space="preserve"> ~$86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14502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463" w:right="339" w:bottom="1440" w:gutter="0" w:footer="0" w:header="0"/>
        </w:sectPr>
      </w:pPr>
    </w:p>
    <w:bookmarkStart w:id="9" w:name="page10"/>
    <w:bookmarkEnd w:id="9"/>
    <w:p>
      <w:pPr>
        <w:ind w:left="582" w:hanging="288"/>
        <w:spacing w:after="0"/>
        <w:tabs>
          <w:tab w:leader="none" w:pos="582"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Monetize 19% stake put-option in HMN joint venture </w:t>
      </w:r>
      <w:r>
        <w:rPr>
          <w:rFonts w:ascii="Arial" w:cs="Arial" w:eastAsia="Arial" w:hAnsi="Arial"/>
          <w:sz w:val="19"/>
          <w:szCs w:val="19"/>
          <w:color w:val="auto"/>
        </w:rPr>
        <w:t>à</w:t>
      </w:r>
      <w:r>
        <w:rPr>
          <w:rFonts w:ascii="Arial" w:cs="Arial" w:eastAsia="Arial" w:hAnsi="Arial"/>
          <w:sz w:val="16"/>
          <w:szCs w:val="16"/>
          <w:color w:val="auto"/>
        </w:rPr>
        <w:t xml:space="preserve"> ~$54 million;</w:t>
      </w:r>
    </w:p>
    <w:p>
      <w:pPr>
        <w:spacing w:after="0" w:line="185" w:lineRule="exact"/>
        <w:rPr>
          <w:rFonts w:ascii="Arial" w:cs="Arial" w:eastAsia="Arial" w:hAnsi="Arial"/>
          <w:sz w:val="16"/>
          <w:szCs w:val="16"/>
          <w:color w:val="auto"/>
        </w:rPr>
      </w:pPr>
    </w:p>
    <w:p>
      <w:pPr>
        <w:ind w:left="582" w:hanging="288"/>
        <w:spacing w:after="0"/>
        <w:tabs>
          <w:tab w:leader="none" w:pos="582"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Sale or joint venture of HC2 Broadcasting </w:t>
      </w:r>
      <w:r>
        <w:rPr>
          <w:rFonts w:ascii="Arial" w:cs="Arial" w:eastAsia="Arial" w:hAnsi="Arial"/>
          <w:sz w:val="19"/>
          <w:szCs w:val="19"/>
          <w:color w:val="auto"/>
        </w:rPr>
        <w:t>à</w:t>
      </w:r>
      <w:r>
        <w:rPr>
          <w:rFonts w:ascii="Arial" w:cs="Arial" w:eastAsia="Arial" w:hAnsi="Arial"/>
          <w:sz w:val="16"/>
          <w:szCs w:val="16"/>
          <w:color w:val="auto"/>
        </w:rPr>
        <w:t xml:space="preserve"> $75-$125 million (net of debt);</w:t>
      </w:r>
    </w:p>
    <w:p>
      <w:pPr>
        <w:spacing w:after="0" w:line="185" w:lineRule="exact"/>
        <w:rPr>
          <w:rFonts w:ascii="Arial" w:cs="Arial" w:eastAsia="Arial" w:hAnsi="Arial"/>
          <w:sz w:val="16"/>
          <w:szCs w:val="16"/>
          <w:color w:val="auto"/>
        </w:rPr>
      </w:pPr>
    </w:p>
    <w:p>
      <w:pPr>
        <w:ind w:left="582" w:hanging="288"/>
        <w:spacing w:after="0"/>
        <w:tabs>
          <w:tab w:leader="none" w:pos="582"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Sale or joint venture of Pansend Life Sciences’ assets to secondaries fund or to partners, including management company </w:t>
      </w:r>
      <w:r>
        <w:rPr>
          <w:rFonts w:ascii="Arial" w:cs="Arial" w:eastAsia="Arial" w:hAnsi="Arial"/>
          <w:sz w:val="19"/>
          <w:szCs w:val="19"/>
          <w:color w:val="auto"/>
        </w:rPr>
        <w:t>à</w:t>
      </w:r>
      <w:r>
        <w:rPr>
          <w:rFonts w:ascii="Arial" w:cs="Arial" w:eastAsia="Arial" w:hAnsi="Arial"/>
          <w:sz w:val="16"/>
          <w:szCs w:val="16"/>
          <w:color w:val="auto"/>
        </w:rPr>
        <w:t xml:space="preserve"> $150-$225 million, and;</w:t>
      </w:r>
    </w:p>
    <w:p>
      <w:pPr>
        <w:spacing w:after="0" w:line="185" w:lineRule="exact"/>
        <w:rPr>
          <w:rFonts w:ascii="Arial" w:cs="Arial" w:eastAsia="Arial" w:hAnsi="Arial"/>
          <w:sz w:val="16"/>
          <w:szCs w:val="16"/>
          <w:color w:val="auto"/>
        </w:rPr>
      </w:pPr>
    </w:p>
    <w:p>
      <w:pPr>
        <w:ind w:left="582" w:hanging="288"/>
        <w:spacing w:after="0"/>
        <w:tabs>
          <w:tab w:leader="none" w:pos="582"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Divest of ICS Group Holdings </w:t>
      </w:r>
      <w:r>
        <w:rPr>
          <w:rFonts w:ascii="Arial" w:cs="Arial" w:eastAsia="Arial" w:hAnsi="Arial"/>
          <w:sz w:val="19"/>
          <w:szCs w:val="19"/>
          <w:color w:val="auto"/>
        </w:rPr>
        <w:t>à</w:t>
      </w:r>
      <w:r>
        <w:rPr>
          <w:rFonts w:ascii="Arial" w:cs="Arial" w:eastAsia="Arial" w:hAnsi="Arial"/>
          <w:sz w:val="16"/>
          <w:szCs w:val="16"/>
          <w:color w:val="auto"/>
        </w:rPr>
        <w:t xml:space="preserve"> $5-$10 million.</w:t>
      </w:r>
    </w:p>
    <w:p>
      <w:pPr>
        <w:spacing w:after="0" w:line="323" w:lineRule="exact"/>
        <w:rPr>
          <w:rFonts w:ascii="Arial" w:cs="Arial" w:eastAsia="Arial" w:hAnsi="Arial"/>
          <w:sz w:val="16"/>
          <w:szCs w:val="16"/>
          <w:color w:val="auto"/>
        </w:rPr>
      </w:pPr>
    </w:p>
    <w:p>
      <w:pPr>
        <w:jc w:val="both"/>
        <w:ind w:left="302" w:hanging="302"/>
        <w:spacing w:after="0" w:line="267" w:lineRule="auto"/>
        <w:tabs>
          <w:tab w:leader="none" w:pos="302"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Overhauling the Portfolio to Prioritize Core, EBITDA-Positive Assets </w:t>
      </w:r>
      <w:r>
        <w:rPr>
          <w:rFonts w:ascii="Arial" w:cs="Arial" w:eastAsia="Arial" w:hAnsi="Arial"/>
          <w:sz w:val="16"/>
          <w:szCs w:val="16"/>
          <w:color w:val="auto"/>
        </w:rPr>
        <w:t>– Our nominees see a clear opportunity to streamline the asset base through targeted split-offs, spin-offs and tactical divestitures as assets scale. If elected, our nominees intend to establish true guardrails and governing principles around the Company’s holdings, ensuring there is a strict focus on businesses that are able to generate free cash flow and do not have overwhelming capital needs. We will focus resources on three core, EBITDA-positive assets that will grow or be monetized in time:</w:t>
      </w:r>
    </w:p>
    <w:p>
      <w:pPr>
        <w:spacing w:after="0" w:line="165" w:lineRule="exact"/>
        <w:rPr>
          <w:rFonts w:ascii="Arial" w:cs="Arial" w:eastAsia="Arial" w:hAnsi="Arial"/>
          <w:sz w:val="16"/>
          <w:szCs w:val="16"/>
          <w:color w:val="auto"/>
        </w:rPr>
      </w:pPr>
    </w:p>
    <w:p>
      <w:pPr>
        <w:ind w:left="582" w:hanging="288"/>
        <w:spacing w:after="0"/>
        <w:tabs>
          <w:tab w:leader="none" w:pos="582"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DBM Global</w:t>
      </w:r>
      <w:r>
        <w:rPr>
          <w:rFonts w:ascii="Arial" w:cs="Arial" w:eastAsia="Arial" w:hAnsi="Arial"/>
          <w:sz w:val="16"/>
          <w:szCs w:val="16"/>
          <w:color w:val="auto"/>
        </w:rPr>
        <w:t>: This is a strong specialty construction business hindered by addressable legal issues and a lack of capital;</w:t>
      </w:r>
    </w:p>
    <w:p>
      <w:pPr>
        <w:spacing w:after="0" w:line="195" w:lineRule="exact"/>
        <w:rPr>
          <w:rFonts w:ascii="Arial" w:cs="Arial" w:eastAsia="Arial" w:hAnsi="Arial"/>
          <w:sz w:val="16"/>
          <w:szCs w:val="16"/>
          <w:color w:val="auto"/>
        </w:rPr>
      </w:pPr>
    </w:p>
    <w:p>
      <w:pPr>
        <w:ind w:left="582" w:right="220" w:hanging="288"/>
        <w:spacing w:after="0" w:line="286" w:lineRule="auto"/>
        <w:tabs>
          <w:tab w:leader="none" w:pos="582"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Continental General:</w:t>
      </w:r>
      <w:r>
        <w:rPr>
          <w:rFonts w:ascii="Arial" w:cs="Arial" w:eastAsia="Arial" w:hAnsi="Arial"/>
          <w:sz w:val="16"/>
          <w:szCs w:val="16"/>
          <w:color w:val="auto"/>
        </w:rPr>
        <w:t xml:space="preserve"> This is a promising long-term care insurance business that is hindered as a result of regulatory issues, including a present exam by a Texas regulator, and;</w:t>
      </w:r>
    </w:p>
    <w:p>
      <w:pPr>
        <w:spacing w:after="0" w:line="137" w:lineRule="exact"/>
        <w:rPr>
          <w:rFonts w:ascii="Arial" w:cs="Arial" w:eastAsia="Arial" w:hAnsi="Arial"/>
          <w:sz w:val="16"/>
          <w:szCs w:val="16"/>
          <w:color w:val="auto"/>
        </w:rPr>
      </w:pPr>
    </w:p>
    <w:p>
      <w:pPr>
        <w:ind w:left="582" w:right="460" w:hanging="288"/>
        <w:spacing w:after="0" w:line="286" w:lineRule="auto"/>
        <w:tabs>
          <w:tab w:leader="none" w:pos="582"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American Natural Gas:</w:t>
      </w:r>
      <w:r>
        <w:rPr>
          <w:rFonts w:ascii="Arial" w:cs="Arial" w:eastAsia="Arial" w:hAnsi="Arial"/>
          <w:sz w:val="16"/>
          <w:szCs w:val="16"/>
          <w:color w:val="auto"/>
        </w:rPr>
        <w:t xml:space="preserve"> A lack of scale, unresolved management issues and limited capital has hindered the company’s ability to participate in growth of the compressed natural gas market.</w:t>
      </w:r>
    </w:p>
    <w:p>
      <w:pPr>
        <w:spacing w:after="0" w:line="133" w:lineRule="exact"/>
        <w:rPr>
          <w:rFonts w:ascii="Arial" w:cs="Arial" w:eastAsia="Arial" w:hAnsi="Arial"/>
          <w:sz w:val="16"/>
          <w:szCs w:val="16"/>
          <w:color w:val="auto"/>
        </w:rPr>
      </w:pPr>
    </w:p>
    <w:p>
      <w:pPr>
        <w:jc w:val="both"/>
        <w:ind w:left="302" w:hanging="302"/>
        <w:spacing w:after="0" w:line="273" w:lineRule="auto"/>
        <w:tabs>
          <w:tab w:leader="none" w:pos="302"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Recovering Misallocated Capital and Waste </w:t>
      </w:r>
      <w:r>
        <w:rPr>
          <w:rFonts w:ascii="Arial" w:cs="Arial" w:eastAsia="Arial" w:hAnsi="Arial"/>
          <w:sz w:val="16"/>
          <w:szCs w:val="16"/>
          <w:color w:val="auto"/>
        </w:rPr>
        <w:t>– A growing number of HC2 stockholders have concerns about Board-sanctioned waste and excess. If elected, our</w:t>
      </w:r>
      <w:r>
        <w:rPr>
          <w:rFonts w:ascii="Arial" w:cs="Arial" w:eastAsia="Arial" w:hAnsi="Arial"/>
          <w:sz w:val="16"/>
          <w:szCs w:val="16"/>
          <w:b w:val="1"/>
          <w:bCs w:val="1"/>
          <w:color w:val="auto"/>
        </w:rPr>
        <w:t xml:space="preserve"> </w:t>
      </w:r>
      <w:r>
        <w:rPr>
          <w:rFonts w:ascii="Arial" w:cs="Arial" w:eastAsia="Arial" w:hAnsi="Arial"/>
          <w:sz w:val="16"/>
          <w:szCs w:val="16"/>
          <w:color w:val="auto"/>
        </w:rPr>
        <w:t>nominees intend to set up a special committee focused on asset recovery. Jay Newman, formerly of Elliott Management, has significant asset recovery and related litigation experience that would be highly additive to any Board committee seeking to recover misallocated gains.</w:t>
      </w:r>
    </w:p>
    <w:p>
      <w:pPr>
        <w:spacing w:after="0" w:line="289" w:lineRule="exact"/>
        <w:rPr>
          <w:sz w:val="20"/>
          <w:szCs w:val="20"/>
          <w:color w:val="auto"/>
        </w:rPr>
      </w:pPr>
    </w:p>
    <w:p>
      <w:pPr>
        <w:jc w:val="both"/>
        <w:ind w:left="2"/>
        <w:spacing w:after="0" w:line="231" w:lineRule="auto"/>
        <w:rPr>
          <w:sz w:val="20"/>
          <w:szCs w:val="20"/>
          <w:color w:val="auto"/>
        </w:rPr>
      </w:pPr>
      <w:r>
        <w:rPr>
          <w:rFonts w:ascii="Arial" w:cs="Arial" w:eastAsia="Arial" w:hAnsi="Arial"/>
          <w:sz w:val="20"/>
          <w:szCs w:val="20"/>
          <w:color w:val="auto"/>
        </w:rPr>
        <w:t>Recognizing the importance of a responsible and well-executed transition amidst a change-in-control situation, our nominees have also developed a detailed transition plan. This includes establishing an interim management team with identified executives, including a general counsel and chief financial officer with stellar resumes and no history of regulatory issues.</w:t>
      </w:r>
    </w:p>
    <w:p>
      <w:pPr>
        <w:spacing w:after="0" w:line="96" w:lineRule="exact"/>
        <w:rPr>
          <w:sz w:val="20"/>
          <w:szCs w:val="20"/>
          <w:color w:val="auto"/>
        </w:rPr>
      </w:pPr>
    </w:p>
    <w:p>
      <w:pPr>
        <w:jc w:val="center"/>
        <w:ind w:left="340" w:right="220"/>
        <w:spacing w:after="0" w:line="238" w:lineRule="auto"/>
        <w:rPr>
          <w:sz w:val="20"/>
          <w:szCs w:val="20"/>
          <w:color w:val="auto"/>
        </w:rPr>
      </w:pPr>
      <w:r>
        <w:rPr>
          <w:rFonts w:ascii="Arial" w:cs="Arial" w:eastAsia="Arial" w:hAnsi="Arial"/>
          <w:sz w:val="20"/>
          <w:szCs w:val="20"/>
          <w:b w:val="1"/>
          <w:bCs w:val="1"/>
          <w:i w:val="1"/>
          <w:iCs w:val="1"/>
          <w:u w:val="single" w:color="auto"/>
          <w:color w:val="auto"/>
        </w:rPr>
        <w:t>WE URGE STOCKHOLDERS TO AVOID BEING MISLED BY HC2’S LOW-ROAD CAMPAIGN AND VOTE FOR OUR WORLD-CLASS NOMINEES ON THE GREEN CONSENT CARD.</w:t>
      </w:r>
    </w:p>
    <w:p>
      <w:pPr>
        <w:spacing w:after="0" w:line="71" w:lineRule="exact"/>
        <w:rPr>
          <w:sz w:val="20"/>
          <w:szCs w:val="20"/>
          <w:color w:val="auto"/>
        </w:rPr>
      </w:pPr>
    </w:p>
    <w:p>
      <w:pPr>
        <w:jc w:val="both"/>
        <w:ind w:left="2"/>
        <w:spacing w:after="0" w:line="226" w:lineRule="auto"/>
        <w:rPr>
          <w:sz w:val="20"/>
          <w:szCs w:val="20"/>
          <w:color w:val="auto"/>
        </w:rPr>
      </w:pPr>
      <w:r>
        <w:rPr>
          <w:rFonts w:ascii="Arial" w:cs="Arial" w:eastAsia="Arial" w:hAnsi="Arial"/>
          <w:sz w:val="19"/>
          <w:szCs w:val="19"/>
          <w:color w:val="auto"/>
        </w:rPr>
        <w:t>In the weeks ahead, we call on stockholders to continue to scrutinize and question HC2’s misleading assertions and efforts to miscast MG Capital and our highly-qualified nominees. Upon objectively assessing the Board’s proposed path forward relative to our nominees’ strategy, it should be crystal clear that we offer the more reliable and stable road to value creation. There is no need to continue “betting it on all red” with Mr. Falcone and his hand-picked directors, who have proven over the past six years that supporting them is akin to spinning the roulette wheel. The next spin may push the Company over the edge of complete financial ruin.</w:t>
      </w:r>
    </w:p>
    <w:p>
      <w:pPr>
        <w:spacing w:after="0" w:line="265" w:lineRule="exact"/>
        <w:rPr>
          <w:sz w:val="20"/>
          <w:szCs w:val="20"/>
          <w:color w:val="auto"/>
        </w:rPr>
      </w:pPr>
    </w:p>
    <w:p>
      <w:pPr>
        <w:jc w:val="center"/>
        <w:ind w:left="320" w:right="100"/>
        <w:spacing w:after="0" w:line="228" w:lineRule="auto"/>
        <w:rPr>
          <w:sz w:val="20"/>
          <w:szCs w:val="20"/>
          <w:color w:val="auto"/>
        </w:rPr>
      </w:pPr>
      <w:r>
        <w:rPr>
          <w:rFonts w:ascii="Arial" w:cs="Arial" w:eastAsia="Arial" w:hAnsi="Arial"/>
          <w:sz w:val="20"/>
          <w:szCs w:val="20"/>
          <w:b w:val="1"/>
          <w:bCs w:val="1"/>
          <w:color w:val="auto"/>
        </w:rPr>
        <w:t xml:space="preserve">We urge HC2 stockholders to consent to all three proposals on the </w:t>
      </w:r>
      <w:r>
        <w:rPr>
          <w:rFonts w:ascii="Arial" w:cs="Arial" w:eastAsia="Arial" w:hAnsi="Arial"/>
          <w:sz w:val="20"/>
          <w:szCs w:val="20"/>
          <w:b w:val="1"/>
          <w:bCs w:val="1"/>
          <w:u w:val="single" w:color="auto"/>
          <w:color w:val="auto"/>
        </w:rPr>
        <w:t>GREEN</w:t>
      </w:r>
      <w:r>
        <w:rPr>
          <w:rFonts w:ascii="Arial" w:cs="Arial" w:eastAsia="Arial" w:hAnsi="Arial"/>
          <w:sz w:val="20"/>
          <w:szCs w:val="20"/>
          <w:b w:val="1"/>
          <w:bCs w:val="1"/>
          <w:color w:val="auto"/>
        </w:rPr>
        <w:t xml:space="preserve"> consent card and return it in your postage-paid envelope provided. </w:t>
      </w:r>
      <w:r>
        <w:rPr>
          <w:rFonts w:ascii="Arial" w:cs="Arial" w:eastAsia="Arial" w:hAnsi="Arial"/>
          <w:sz w:val="20"/>
          <w:szCs w:val="20"/>
          <w:b w:val="1"/>
          <w:bCs w:val="1"/>
          <w:u w:val="single" w:color="auto"/>
          <w:color w:val="auto"/>
        </w:rPr>
        <w:t>The consent deadline is 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7145020" cy="350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3505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197485</wp:posOffset>
            </wp:positionV>
            <wp:extent cx="714502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42"/>
          </w:cols>
          <w:pgMar w:left="318" w:top="4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Should you have any questions or need assistance with voting, please contact Saratoga Proxy Consulting LLC at (888) 368-0379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-99695</wp:posOffset>
            </wp:positionV>
            <wp:extent cx="7145020" cy="466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466725"/>
                    </a:xfrm>
                    <a:prstGeom prst="rect">
                      <a:avLst/>
                    </a:prstGeom>
                    <a:noFill/>
                  </pic:spPr>
                </pic:pic>
              </a:graphicData>
            </a:graphic>
          </wp:anchor>
        </w:drawing>
      </w:r>
    </w:p>
    <w:p>
      <w:pPr>
        <w:ind w:left="3780" w:hanging="468"/>
        <w:spacing w:after="0"/>
        <w:tabs>
          <w:tab w:leader="none" w:pos="37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257-1311 or by email at </w:t>
      </w:r>
      <w:r>
        <w:rPr>
          <w:rFonts w:ascii="Arial" w:cs="Arial" w:eastAsia="Arial" w:hAnsi="Arial"/>
          <w:sz w:val="20"/>
          <w:szCs w:val="20"/>
          <w:b w:val="1"/>
          <w:bCs w:val="1"/>
          <w:u w:val="single" w:color="auto"/>
          <w:color w:val="auto"/>
        </w:rPr>
        <w:t>info@saratogaproxy.com</w:t>
      </w:r>
      <w:r>
        <w:rPr>
          <w:rFonts w:ascii="Arial" w:cs="Arial" w:eastAsia="Arial" w:hAnsi="Arial"/>
          <w:sz w:val="20"/>
          <w:szCs w:val="20"/>
          <w:b w:val="1"/>
          <w:bCs w:val="1"/>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PROTECT YOUR INVESTMENT. </w:t>
      </w:r>
      <w:r>
        <w:rPr>
          <w:rFonts w:ascii="Arial" w:cs="Arial" w:eastAsia="Arial" w:hAnsi="Arial"/>
          <w:sz w:val="20"/>
          <w:szCs w:val="20"/>
          <w:b w:val="1"/>
          <w:bCs w:val="1"/>
          <w:u w:val="single" w:color="auto"/>
          <w:color w:val="auto"/>
        </w:rPr>
        <w:t>SIGN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DATE</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RETURN</w:t>
      </w:r>
      <w:r>
        <w:rPr>
          <w:rFonts w:ascii="Arial" w:cs="Arial" w:eastAsia="Arial" w:hAnsi="Arial"/>
          <w:sz w:val="20"/>
          <w:szCs w:val="20"/>
          <w:b w:val="1"/>
          <w:bCs w:val="1"/>
          <w:color w:val="auto"/>
        </w:rPr>
        <w:t xml:space="preserve"> YOUR FILLED OUT </w:t>
      </w:r>
      <w:r>
        <w:rPr>
          <w:rFonts w:ascii="Arial" w:cs="Arial" w:eastAsia="Arial" w:hAnsi="Arial"/>
          <w:sz w:val="20"/>
          <w:szCs w:val="20"/>
          <w:b w:val="1"/>
          <w:bCs w:val="1"/>
          <w:u w:val="single" w:color="auto"/>
          <w:color w:val="auto"/>
        </w:rPr>
        <w:t>GREEN</w:t>
      </w:r>
      <w:r>
        <w:rPr>
          <w:rFonts w:ascii="Arial" w:cs="Arial" w:eastAsia="Arial" w:hAnsi="Arial"/>
          <w:sz w:val="20"/>
          <w:szCs w:val="20"/>
          <w:b w:val="1"/>
          <w:bCs w:val="1"/>
          <w:color w:val="auto"/>
        </w:rPr>
        <w:t xml:space="preserve"> CONSENT CARD TODAY.</w:t>
      </w:r>
    </w:p>
    <w:p>
      <w:pPr>
        <w:spacing w:after="0" w:line="279"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As a reminder, to demonstrate alignment with stockholders, our nominees have committed to slashing director fees by 50% and compensating Michael Gorzynski $1 for his potential service as interim Chief Executive Officer. We look forward to continuing to champion the best interests of all stockholders.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Learn more about our case for change and sign up for updates at </w:t>
      </w:r>
      <w:r>
        <w:rPr>
          <w:rFonts w:ascii="Arial" w:cs="Arial" w:eastAsia="Arial" w:hAnsi="Arial"/>
          <w:sz w:val="20"/>
          <w:szCs w:val="20"/>
          <w:u w:val="single" w:color="auto"/>
          <w:color w:val="auto"/>
        </w:rPr>
        <w:t>www.ABetterHC2.com</w:t>
      </w:r>
      <w:r>
        <w:rPr>
          <w:rFonts w:ascii="Arial" w:cs="Arial" w:eastAsia="Arial" w:hAnsi="Arial"/>
          <w:sz w:val="20"/>
          <w:szCs w:val="20"/>
          <w:color w:val="auto"/>
        </w:rPr>
        <w:t>.</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rPr>
          <w:sz w:val="20"/>
          <w:szCs w:val="20"/>
          <w:color w:val="auto"/>
        </w:rPr>
      </w:pPr>
      <w:r>
        <w:rPr>
          <w:rFonts w:ascii="Arial" w:cs="Arial" w:eastAsia="Arial" w:hAnsi="Arial"/>
          <w:sz w:val="20"/>
          <w:szCs w:val="20"/>
          <w:color w:val="auto"/>
        </w:rPr>
        <w:t>Michael Gorzynski</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40"/>
          </w:cols>
          <w:pgMar w:left="320" w:top="445" w:right="339" w:bottom="1440" w:gutter="0" w:footer="0" w:header="0"/>
        </w:sectPr>
      </w:pPr>
    </w:p>
    <w:bookmarkStart w:id="11" w:name="page12"/>
    <w:bookmarkEnd w:id="11"/>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2700655" cy="84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00655" cy="84836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Time to separate fiction from reality.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Dear Fellow Stockholder,</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Today, MG Capital – which is completely aligned with you – </w:t>
      </w:r>
      <w:r>
        <w:rPr>
          <w:rFonts w:ascii="Arial" w:cs="Arial" w:eastAsia="Arial" w:hAnsi="Arial"/>
          <w:sz w:val="20"/>
          <w:szCs w:val="20"/>
          <w:u w:val="single" w:color="auto"/>
          <w:color w:val="auto"/>
        </w:rPr>
        <w:t>sent a letter</w:t>
      </w:r>
      <w:r>
        <w:rPr>
          <w:rFonts w:ascii="Arial" w:cs="Arial" w:eastAsia="Arial" w:hAnsi="Arial"/>
          <w:sz w:val="20"/>
          <w:szCs w:val="20"/>
          <w:color w:val="auto"/>
        </w:rPr>
        <w:t xml:space="preserve"> laying out the indisputable realities that HC2 faces.</w:t>
      </w:r>
    </w:p>
    <w:p>
      <w:pPr>
        <w:spacing w:after="0" w:line="200" w:lineRule="exact"/>
        <w:rPr>
          <w:sz w:val="20"/>
          <w:szCs w:val="20"/>
          <w:color w:val="auto"/>
        </w:rPr>
      </w:pPr>
    </w:p>
    <w:p>
      <w:pPr>
        <w:spacing w:after="0" w:line="281" w:lineRule="exact"/>
        <w:rPr>
          <w:sz w:val="20"/>
          <w:szCs w:val="20"/>
          <w:color w:val="auto"/>
        </w:rPr>
      </w:pPr>
    </w:p>
    <w:p>
      <w:pPr>
        <w:spacing w:after="0" w:line="390" w:lineRule="auto"/>
        <w:rPr>
          <w:sz w:val="20"/>
          <w:szCs w:val="20"/>
          <w:color w:val="auto"/>
        </w:rPr>
      </w:pPr>
      <w:r>
        <w:rPr>
          <w:rFonts w:ascii="Arial" w:cs="Arial" w:eastAsia="Arial" w:hAnsi="Arial"/>
          <w:sz w:val="20"/>
          <w:szCs w:val="20"/>
          <w:color w:val="auto"/>
        </w:rPr>
        <w:t>We believe you should ask yourself a simple question prior to voting: can I really trust that the incumbent directors will help HC2 avert financial ruin when they cannot even be trusted to tell the truth?</w:t>
      </w:r>
    </w:p>
    <w:p>
      <w:pPr>
        <w:spacing w:after="0" w:line="319" w:lineRule="exact"/>
        <w:rPr>
          <w:sz w:val="20"/>
          <w:szCs w:val="20"/>
          <w:color w:val="auto"/>
        </w:rPr>
      </w:pPr>
    </w:p>
    <w:p>
      <w:pPr>
        <w:spacing w:after="0" w:line="390" w:lineRule="auto"/>
        <w:rPr>
          <w:sz w:val="20"/>
          <w:szCs w:val="20"/>
          <w:color w:val="auto"/>
        </w:rPr>
      </w:pPr>
      <w:r>
        <w:rPr>
          <w:rFonts w:ascii="Arial" w:cs="Arial" w:eastAsia="Arial" w:hAnsi="Arial"/>
          <w:sz w:val="20"/>
          <w:szCs w:val="20"/>
          <w:color w:val="auto"/>
        </w:rPr>
        <w:t>Upon objectively assessing the Board’s proposed path forward relative to our nominees’ strategy, it should be crystal clear that we offer the more reliable and stable road to value creation.</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We urge HC2 stockholders to consent to all three proposals on the </w:t>
      </w:r>
      <w:r>
        <w:rPr>
          <w:rFonts w:ascii="Arial" w:cs="Arial" w:eastAsia="Arial" w:hAnsi="Arial"/>
          <w:sz w:val="20"/>
          <w:szCs w:val="20"/>
          <w:b w:val="1"/>
          <w:bCs w:val="1"/>
          <w:u w:val="single" w:color="auto"/>
          <w:color w:val="00B050"/>
        </w:rPr>
        <w:t>GREEN</w:t>
      </w:r>
      <w:r>
        <w:rPr>
          <w:rFonts w:ascii="Arial" w:cs="Arial" w:eastAsia="Arial" w:hAnsi="Arial"/>
          <w:sz w:val="20"/>
          <w:szCs w:val="20"/>
          <w:color w:val="auto"/>
        </w:rPr>
        <w:t xml:space="preserve"> consent card.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The time is now for a better HC2.</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rPr>
          <w:sz w:val="20"/>
          <w:szCs w:val="20"/>
          <w:color w:val="auto"/>
        </w:rPr>
      </w:pPr>
      <w:r>
        <w:rPr>
          <w:rFonts w:ascii="Arial" w:cs="Arial" w:eastAsia="Arial" w:hAnsi="Arial"/>
          <w:sz w:val="20"/>
          <w:szCs w:val="20"/>
          <w:color w:val="auto"/>
        </w:rPr>
        <w:t>Michael Gorzynski</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Founder and Managing Partner, MG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1229995"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9995" cy="4514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229235</wp:posOffset>
            </wp:positionV>
            <wp:extent cx="7202170" cy="390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02170" cy="3907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2)"/>
      <w:numFmt w:val="decimal"/>
      <w:start w:val="1"/>
    </w:lvl>
  </w:abstractNum>
  <w:abstractNum w:abstractNumId="1">
    <w:nsid w:val="5BD062C2"/>
    <w:multiLevelType w:val="hybridMultilevel"/>
    <w:lvl w:ilvl="0">
      <w:lvlJc w:val="left"/>
      <w:lvlText w:val="["/>
      <w:numFmt w:val="bullet"/>
      <w:start w:val="1"/>
    </w:lvl>
    <w:lvl w:ilvl="1">
      <w:lvlJc w:val="left"/>
      <w:lvlText w:val="(%2)"/>
      <w:numFmt w:val="decimal"/>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5"/>
      <w:numFmt w:val="bullet"/>
      <w:start w:val="1"/>
    </w:lvl>
  </w:abstractNum>
  <w:abstractNum w:abstractNumId="6">
    <w:nsid w:val="1190CDE7"/>
    <w:multiLevelType w:val="hybridMultilevel"/>
    <w:lvl w:ilvl="0">
      <w:lvlJc w:val="left"/>
      <w:lvlText w:val="6"/>
      <w:numFmt w:val="bullet"/>
      <w:start w:val="1"/>
    </w:lvl>
  </w:abstractNum>
  <w:abstractNum w:abstractNumId="7">
    <w:nsid w:val="66EF438D"/>
    <w:multiLevelType w:val="hybridMultilevel"/>
    <w:lvl w:ilvl="0">
      <w:lvlJc w:val="left"/>
      <w:lvlText w:val="7"/>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o"/>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o"/>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o"/>
      <w:numFmt w:val="bullet"/>
      <w:start w:val="1"/>
    </w:lvl>
  </w:abstractNum>
  <w:abstractNum w:abstractNumId="14">
    <w:nsid w:val="41A7C4C9"/>
    <w:multiLevelType w:val="hybridMultilevel"/>
    <w:lvl w:ilvl="0">
      <w:lvlJc w:val="left"/>
      <w:lvlText w:val="•"/>
      <w:numFmt w:val="bullet"/>
      <w:start w:val="1"/>
    </w:lvl>
    <w:lvl w:ilvl="1">
      <w:lvlJc w:val="left"/>
      <w:lvlText w:val="o"/>
      <w:numFmt w:val="bullet"/>
      <w:start w:val="1"/>
    </w:lvl>
  </w:abstractNum>
  <w:abstractNum w:abstractNumId="15">
    <w:nsid w:val="6B68079A"/>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2020-04-23T16:25:06Z</dcterms:created>
  <dcterms:modified xsi:type="dcterms:W3CDTF">2020-04-23T16:25:06Z</dcterms:modified>
</cp:coreProperties>
</file>